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THE CODE OF LAWS OF SOUTH CAROLINA, 1976, BY ADDING SECTION 19-1-75 SO AS TO PROVIDE THAT A CRIMINAL CONVICTION OF A TRANSPORTATION EMPLOYEE OR INDEPENDENT CONTRACTOR IS NOT ADMISSIBLE IN A CIVIL ACTION AGAINST A TRANSPORTATION COMPANY UNDER CERTAIN CIRCUMSTANCES, TO DEFINE THE TERMS “MINOR TRAFFIC VIOLATION” AND “TRANSPORTATION COMPANY”,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19</w:t>
      </w:r>
      <w:r>
        <w:noBreakHyphen/>
        <w:t>1</w:t>
      </w:r>
      <w:r>
        <w:noBreakHyphen/>
        <w:t>75.</w:t>
      </w:r>
      <w:r>
        <w:tab/>
        <w:t>(A)</w:t>
      </w:r>
      <w:r>
        <w:tab/>
        <w:t>In a civil action against a transportation company when the propriety of the hiring of an employee, the retaining of an independent contractor, or the entrustment of a vehicle to either is at issue, a criminal conviction of the employee or the contractor is not admissible if the conviction occurred more than five years before the hiring of the employee, retention of the contractor, or the entrustment of the vehicle to either, and the employee or contractor has not been convicted of a crime, except a minor traffic violation, within the five years before the hiring or retention of the employee or contractor or the entrustment of the vehicle to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‘Minor traffic violation’ means a traffic offense for which the maximum punishment is less than six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‘Transportation company’ means intrastate and interstate transportation companies which operate commercial motor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do not apply to the hiring or retention of persons convicted of a violation of Section 16</w:t>
      </w:r>
      <w:r>
        <w:noBreakHyphen/>
        <w:t>3</w:t>
      </w:r>
      <w:r>
        <w:noBreakHyphen/>
        <w:t>10, 16</w:t>
      </w:r>
      <w:r>
        <w:noBreakHyphen/>
        <w:t>3</w:t>
      </w:r>
      <w:r>
        <w:noBreakHyphen/>
        <w:t>30, 16</w:t>
      </w:r>
      <w:r>
        <w:noBreakHyphen/>
        <w:t>3</w:t>
      </w:r>
      <w:r>
        <w:noBreakHyphen/>
        <w:t>40, 16</w:t>
      </w:r>
      <w:r>
        <w:noBreakHyphen/>
        <w:t>3</w:t>
      </w:r>
      <w:r>
        <w:noBreakHyphen/>
        <w:t>85, 16</w:t>
      </w:r>
      <w:r>
        <w:noBreakHyphen/>
        <w:t>3</w:t>
      </w:r>
      <w:r>
        <w:noBreakHyphen/>
        <w:t>210, or 16</w:t>
      </w:r>
      <w:r>
        <w:noBreakHyphen/>
        <w:t>3</w:t>
      </w:r>
      <w:r>
        <w:noBreakHyphen/>
        <w:t>652.”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A8214B-6256-41BB-BFAD-9847B1BCE992}"/>
    <w:embedBold r:id="rId2" w:fontKey="{9D359CD7-321D-4CDB-AFC5-AD41B38CA47F}"/>
  </w:font>
  <w:font w:name="Calibri">
    <w:panose1 w:val="020F0502020204030204"/>
    <w:charset w:val="00"/>
    <w:family w:val="swiss"/>
    <w:pitch w:val="variable"/>
    <w:sig w:usb0="A00002EF" w:usb1="4000207B" w:usb2="00000000" w:usb3="00000000" w:csb0="0000009F" w:csb1="00000000"/>
    <w:embedRegular r:id="rId3" w:fontKey="{05997299-003E-43A8-BFF6-E00199181A80}"/>
  </w:font>
  <w:font w:name="Tahoma">
    <w:panose1 w:val="020B0604030504040204"/>
    <w:charset w:val="00"/>
    <w:family w:val="swiss"/>
    <w:pitch w:val="variable"/>
    <w:sig w:usb0="61002A87" w:usb1="80000000" w:usb2="00000008" w:usb3="00000000" w:csb0="000101FF" w:csb1="00000000"/>
    <w:embedRegular r:id="rId4" w:fontKey="{C0AF995D-749B-445E-8625-5DA59778D0D5}"/>
  </w:font>
  <w:font w:name="Cambria">
    <w:panose1 w:val="02040503050406030204"/>
    <w:charset w:val="00"/>
    <w:family w:val="roman"/>
    <w:pitch w:val="variable"/>
    <w:sig w:usb0="A00002EF" w:usb1="4000004B" w:usb2="00000000" w:usb3="00000000" w:csb0="0000009F" w:csb1="00000000"/>
    <w:embedRegular r:id="rId5" w:fontKey="{90F7E41A-CFB0-45B4-9388-C8EC586B34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96AHB09"/>
    <w:docVar w:name="CoverBillType" w:val="b"/>
    <w:docVar w:name="docpath" w:val="L:\Council\bills\MS\7396AHB09.DOCX"/>
    <w:docVar w:name="dvBillNumber" w:val="411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2009-05-20T15:14:00Z</cp:lastPrinted>
  <dcterms:created xsi:type="dcterms:W3CDTF">2009-05-20T22:50:00Z</dcterms:created>
  <dcterms:modified xsi:type="dcterms:W3CDTF">2009-05-20T22:50:00Z</dcterms:modified>
</cp:coreProperties>
</file>