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38</w:t>
      </w:r>
      <w:r>
        <w:noBreakHyphen/>
        <w:t>53</w:t>
      </w:r>
      <w:r>
        <w:noBreakHyphen/>
        <w:t>35 SO AS TO PROVIDE THAT A SURETY IS NOT LIABLE FOR A BAIL BOND AFTER THREE YEARS FROM THE DATE IT IS ISSUED.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53, Title 38 of the 1976 Code is amended by adding: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38</w:t>
      </w:r>
      <w:r>
        <w:noBreakHyphen/>
        <w:t>53</w:t>
      </w:r>
      <w:r>
        <w:noBreakHyphen/>
        <w:t xml:space="preserve">35. </w:t>
      </w:r>
      <w:r>
        <w:tab/>
        <w:t>Notwithstanding another provision of this chapter, a surety is not liable for a bail bond after three years from the date of its issuance.”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C339D19-43C9-4FA1-BEEF-76C6FEA378EB}"/>
    <w:embedBold r:id="rId2" w:fontKey="{AFCC60C4-91A6-47AD-9DF5-744A56E1716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742721E-7F85-4CFA-8DA5-E4B7E186806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9F5D05BF-3212-42E2-8C93-05DC701564D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[4111]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3769DW09"/>
    <w:docVar w:name="CoverBillType" w:val="b"/>
    <w:docVar w:name="docpath" w:val="L:\Council\bills\DKA\3769DW09.DOCX"/>
    <w:docVar w:name="dvBillNumber" w:val="4111"/>
    <w:docVar w:name="dvBillNumberPrefix" w:val="H. "/>
    <w:docVar w:name="dvOriginalBody" w:val="House"/>
    <w:docVar w:name="dvSteno" w:val="DKA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87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PAIR</dc:creator>
  <cp:keywords/>
  <dc:description/>
  <cp:lastModifiedBy>NSC</cp:lastModifiedBy>
  <cp:revision>2</cp:revision>
  <cp:lastPrinted>2009-05-20T22:03:00Z</cp:lastPrinted>
  <dcterms:created xsi:type="dcterms:W3CDTF">2009-05-20T22:50:00Z</dcterms:created>
  <dcterms:modified xsi:type="dcterms:W3CDTF">2009-05-20T22:50:00Z</dcterms:modified>
</cp:coreProperties>
</file>