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REQUIRE A TWO</w:t>
      </w:r>
      <w:r>
        <w:noBreakHyphen/>
        <w:t xml:space="preserve">THIRDS VOTE OF THE MARLBORO COUNTY BOARD OF EDUCATION TO HIRE OR FIRE THE MARLBORO COUNTY SUPERINTENDENT OF EDUCATION.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another provision of law, the Marlboro County Board of Education is required to cast a two</w:t>
      </w:r>
      <w:r>
        <w:noBreakHyphen/>
        <w:t>thirds vote of its members to hire or fire the Marlboro County Superintendent of Education.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0A2CC7-9794-4892-AFE9-E44B15D88BD2}"/>
    <w:embedBold r:id="rId2" w:fontKey="{A4549619-5EFE-4AB5-8367-8671639C74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5663CD-F950-43A8-8C82-65ACEFD226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0134252-A3E1-4477-B51F-927B7D9DCA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770DW09"/>
    <w:docVar w:name="CoverBillType" w:val="b"/>
    <w:docVar w:name="docpath" w:val="L:\Council\bills\DKA\3770DW09.DOCX"/>
    <w:docVar w:name="dvBillNumber" w:val="4122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2009-05-21T19:28:00Z</cp:lastPrinted>
  <dcterms:created xsi:type="dcterms:W3CDTF">2009-05-21T20:58:00Z</dcterms:created>
  <dcterms:modified xsi:type="dcterms:W3CDTF">2009-05-21T20:58:00Z</dcterms:modified>
</cp:coreProperties>
</file>