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SECTION 16</w:t>
      </w:r>
      <w:r>
        <w:rPr>
          <w:rFonts w:eastAsia="Times New Roman" w:cs="Times New Roman"/>
          <w:szCs w:val="20"/>
        </w:rPr>
        <w:noBreakHyphen/>
        <w:t>3</w:t>
      </w:r>
      <w:r>
        <w:rPr>
          <w:rFonts w:eastAsia="Times New Roman" w:cs="Times New Roman"/>
          <w:szCs w:val="20"/>
        </w:rPr>
        <w:noBreakHyphen/>
        <w:t>1900 SO AS TO ESTABLISH PENALTIES FOR NONCAPITAL CRIMINAL OFFENSES AGAINST A PERSON THAT WERE MOTIVATED BY HATE, WHICH PERTAINS TO SUCH CRIMES BEING COMMITTED WITH THE INTENT TO COMMIT THE CRIME BECAUSE OF THE ACTUAL OR PERCEIVED RACE, RELIGION, COLOR, NATIONAL ORIGIN, ANCESTRY, AGE, DISABILITY, GENDER, SEXUAL ORIENTATION OR GENDER IDENTITY OF A VICTIM, AND TO DEFINE “AGE”, “BASE OFFENSE”, “GENDER IDENTITY”, “DISABILITY”, “MOTIVATED BY HATE”, AND “SEXUAL ORIENTATION”.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“Article 18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Hate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1900.</w:t>
      </w:r>
      <w:r>
        <w:rPr>
          <w:rFonts w:eastAsia="Times New Roman" w:cs="Times New Roman"/>
          <w:szCs w:val="20"/>
        </w:rPr>
        <w:tab/>
        <w:t>(A)</w:t>
      </w:r>
      <w:r>
        <w:rPr>
          <w:rFonts w:eastAsia="Times New Roman" w:cs="Times New Roman"/>
          <w:szCs w:val="20"/>
        </w:rPr>
        <w:tab/>
        <w:t>A person who is convicted of an noncapital offense contained in this chapter, who was motivated by hate in the commission of the offense, is guilty of a felony offense separate from the base offense and, upon conviction, must be punished in accordance with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if the base offense is a misdemeanor, the person must be fined not less than two thousand dollars or more than ten thousand dollars or imprisoned not less than ninety days and not more than six months,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if the base offense is a felony for which the penalty could be imprisonment for not more than ten years, the person must be imprisoned not less than six months and not more than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if the base offense is a felony for which the penalty could be imprisonment for not more than thirty years, excluding those offenses for which imprisonment could be for not more than ten years, the person must be imprisoned not less than one year and not more than two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for conviction of a second offense of the crime established pursuant to this section, regardless of whether the base offense in the first or second conviction was a misdemeanor or a felony, the person must be imprisoned not less than two years and not more than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ab/>
      </w:r>
      <w:r>
        <w:rPr>
          <w:rFonts w:eastAsia="MS Mincho" w:cs="Times New Roman"/>
          <w:szCs w:val="20"/>
        </w:rPr>
        <w:tab/>
        <w:t>(1)</w:t>
      </w:r>
      <w:r>
        <w:rPr>
          <w:rFonts w:eastAsia="MS Mincho" w:cs="Times New Roman"/>
          <w:szCs w:val="20"/>
        </w:rPr>
        <w:tab/>
        <w:t xml:space="preserve">‘Age’ means sixty years of age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‘Base offense’ means the offense contained in this chapter for which the person was convicted and the commission of which was motivated by hate.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 xml:space="preserve">‘Disability’ means that the person has a physical or mental impairment that substantially limits one or more of the major life activities of the person including, but not limited to, caring for himself, performing manual tasks, walking, seeing, hearing, speaking, breathing, learning, and working.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‘Gender identity’ means a person’s self</w:t>
      </w:r>
      <w:r>
        <w:rPr>
          <w:rFonts w:eastAsia="MS Mincho" w:cs="Times New Roman"/>
          <w:szCs w:val="20"/>
        </w:rPr>
        <w:noBreakHyphen/>
        <w:t>perception, or perception of that person by another, of the person’s identity as a male or female based upon the person’s appearance, behavior, or physical characteristics that are in accord or opposed to the person’s physical anatomy, chromosomal sex, or sex at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 xml:space="preserve">‘Motivated by hate’ means the commission of a crime contained in this chapter with the intent to commit the crime because of the actual or perceived race, religion, color, national origin, ancestry, age, disability, gender, sexual orientation, or gender identity of the victim, whether or not the offender’s belief or perception was correct.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‘Sexual orientation’ means heterosexuality, homosexuality, or bisexuality, whether actual or perceived.”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CB1FE7-C72F-4C20-93F1-075DE3BD84EE}"/>
    <w:embedBold r:id="rId2" w:fontKey="{74036FE6-1AEA-486B-B33F-EB09ECE516A0}"/>
  </w:font>
  <w:font w:name="Calibri">
    <w:panose1 w:val="020F0502020204030204"/>
    <w:charset w:val="00"/>
    <w:family w:val="swiss"/>
    <w:pitch w:val="variable"/>
    <w:sig w:usb0="A00002EF" w:usb1="4000207B" w:usb2="00000000" w:usb3="00000000" w:csb0="0000009F" w:csb1="00000000"/>
    <w:embedRegular r:id="rId3" w:fontKey="{21960921-EA22-4A7C-9ACC-48A023DB18B6}"/>
  </w:font>
  <w:font w:name="Tahoma">
    <w:panose1 w:val="020B0604030504040204"/>
    <w:charset w:val="00"/>
    <w:family w:val="swiss"/>
    <w:pitch w:val="variable"/>
    <w:sig w:usb0="61002A87" w:usb1="80000000" w:usb2="00000008" w:usb3="00000000" w:csb0="000101FF" w:csb1="00000000"/>
    <w:embedRegular r:id="rId4" w:fontKey="{0AF97F68-5CB8-4DD2-8591-EF158CEF295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BE58887-29CF-4D6D-B69B-1FF22A9096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731</Words>
  <Characters>4171</Characters>
  <Application>Microsoft Office Word</Application>
  <DocSecurity>0</DocSecurity>
  <Lines>34</Lines>
  <Paragraphs>9</Paragraphs>
  <ScaleCrop>false</ScaleCrop>
  <Company>Project Management</Company>
  <LinksUpToDate>false</LinksUpToDate>
  <CharactersWithSpaces>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2008-12-10T19:32:00Z</dcterms:created>
  <dcterms:modified xsi:type="dcterms:W3CDTF">2008-12-10T19:32:00Z</dcterms:modified>
</cp:coreProperties>
</file>