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F06" w:rsidRDefault="00AB2F06" w:rsidP="00552131">
      <w:pPr>
        <w:pStyle w:val="BillDots"/>
      </w:pPr>
      <w:r>
        <w:rPr>
          <w:strike/>
        </w:rPr>
        <w:t>Indicates Matter Stricken</w:t>
      </w:r>
    </w:p>
    <w:p w:rsidR="00AB2F06" w:rsidRPr="00AB2F06" w:rsidRDefault="00AB2F06" w:rsidP="00552131">
      <w:pPr>
        <w:pStyle w:val="BillDots"/>
      </w:pPr>
      <w:r>
        <w:rPr>
          <w:u w:val="single"/>
        </w:rPr>
        <w:t>Indicates New Matter</w:t>
      </w:r>
    </w:p>
    <w:p w:rsidR="00AB2F06" w:rsidRDefault="00AB2F06" w:rsidP="00552131">
      <w:pPr>
        <w:pStyle w:val="BillDots"/>
      </w:pPr>
    </w:p>
    <w:p w:rsidR="00AB2F06" w:rsidRDefault="00AB2F06" w:rsidP="00552131">
      <w:pPr>
        <w:pStyle w:val="BillDots"/>
      </w:pPr>
      <w:r>
        <w:t>COMMITTEE REPORT</w:t>
      </w:r>
    </w:p>
    <w:p w:rsidR="00AB2F06" w:rsidRDefault="00AB2F06" w:rsidP="00552131">
      <w:pPr>
        <w:pStyle w:val="BillDots"/>
      </w:pPr>
      <w:r>
        <w:t>March 24, 2010</w:t>
      </w:r>
    </w:p>
    <w:p w:rsidR="00AB2F06" w:rsidRDefault="00AB2F06" w:rsidP="00552131">
      <w:pPr>
        <w:pStyle w:val="BillDots"/>
      </w:pPr>
    </w:p>
    <w:p w:rsidR="00AB2F06" w:rsidRPr="00AB2F06" w:rsidRDefault="00AB2F06" w:rsidP="00AB2F0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AB2F06" w:rsidRDefault="00AB2F06" w:rsidP="00552131">
      <w:pPr>
        <w:pStyle w:val="BillDots"/>
      </w:pPr>
    </w:p>
    <w:p w:rsidR="00AB2F06" w:rsidRDefault="00AB2F06"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AB2F06" w:rsidRDefault="00AB2F06" w:rsidP="00552131">
      <w:pPr>
        <w:pStyle w:val="BillDots"/>
      </w:pPr>
    </w:p>
    <w:p w:rsidR="00AB2F06" w:rsidRDefault="00AB2F06" w:rsidP="00C02030">
      <w:pPr>
        <w:pStyle w:val="BillDots"/>
        <w:tabs>
          <w:tab w:val="clear" w:pos="216"/>
          <w:tab w:val="clear" w:pos="432"/>
          <w:tab w:val="clear" w:pos="648"/>
          <w:tab w:val="clear" w:pos="864"/>
          <w:tab w:val="clear" w:pos="1080"/>
          <w:tab w:val="clear" w:pos="1296"/>
          <w:tab w:val="clear" w:pos="5904"/>
          <w:tab w:val="right" w:pos="5933"/>
        </w:tabs>
      </w:pPr>
      <w:r>
        <w:t>S. Printed 3/24/10--H.</w:t>
      </w:r>
      <w:r w:rsidR="00C02030">
        <w:tab/>
        <w:t>[SEC 3/25/10 1:52 PM]</w:t>
      </w:r>
    </w:p>
    <w:p w:rsidR="00AB2F06" w:rsidRDefault="00AB2F06" w:rsidP="00552131">
      <w:pPr>
        <w:pStyle w:val="BillDots"/>
      </w:pPr>
      <w:r>
        <w:t>Read the first time January 26, 2010.</w:t>
      </w:r>
    </w:p>
    <w:p w:rsidR="00AB2F06" w:rsidRPr="00AB2F06" w:rsidRDefault="00AB2F06" w:rsidP="00AB2F06">
      <w:pPr>
        <w:pStyle w:val="BillDots"/>
        <w:jc w:val="center"/>
      </w:pPr>
      <w:r>
        <w:rPr>
          <w:u w:val="single"/>
        </w:rPr>
        <w:t>            </w:t>
      </w:r>
    </w:p>
    <w:p w:rsidR="00AB2F06" w:rsidRDefault="00AB2F06" w:rsidP="00552131">
      <w:pPr>
        <w:pStyle w:val="BillDots"/>
      </w:pPr>
    </w:p>
    <w:p w:rsidR="00AB2F06" w:rsidRDefault="00AB2F06" w:rsidP="00AB2F06">
      <w:pPr>
        <w:pStyle w:val="BillDots"/>
        <w:jc w:val="center"/>
        <w:rPr>
          <w:b/>
        </w:rPr>
      </w:pPr>
      <w:r>
        <w:rPr>
          <w:b/>
        </w:rPr>
        <w:t>THE COMMITTEE ON MEDICAL,</w:t>
      </w:r>
    </w:p>
    <w:p w:rsidR="00AB2F06" w:rsidRPr="00AB2F06" w:rsidRDefault="00AB2F06" w:rsidP="00AB2F06">
      <w:pPr>
        <w:pStyle w:val="BillDots"/>
        <w:jc w:val="center"/>
      </w:pPr>
      <w:r>
        <w:rPr>
          <w:b/>
        </w:rPr>
        <w:t>MILITARY, PUBLIC AND MUNICIPAL AFFAIRS</w:t>
      </w:r>
    </w:p>
    <w:p w:rsidR="00AB2F06" w:rsidRDefault="00AB2F06" w:rsidP="00552131">
      <w:pPr>
        <w:pStyle w:val="BillDots"/>
      </w:pPr>
      <w:r>
        <w:tab/>
        <w:t xml:space="preserve">To whom was referred a Bill (H. 4413) </w:t>
      </w:r>
      <w:r w:rsidRPr="00AB2F06">
        <w:rPr>
          <w:color w:val="000000" w:themeColor="text1"/>
          <w:u w:color="000000" w:themeColor="text1"/>
        </w:rPr>
        <w:t>to amend the Code of Laws of South Carolina, 1976, by adding Chapter 70 to Title 44 to enact the “Licensure of In</w:t>
      </w:r>
      <w:r w:rsidRPr="00AB2F06">
        <w:rPr>
          <w:color w:val="000000" w:themeColor="text1"/>
          <w:u w:color="000000" w:themeColor="text1"/>
        </w:rPr>
        <w:noBreakHyphen/>
        <w:t>Home Care Provider Act” so</w:t>
      </w:r>
      <w:r>
        <w:t xml:space="preserve"> as to require, etc., respectfully</w:t>
      </w:r>
    </w:p>
    <w:p w:rsidR="00AB2F06" w:rsidRPr="00AB2F06" w:rsidRDefault="00AB2F06" w:rsidP="00AB2F06">
      <w:pPr>
        <w:pStyle w:val="BillDots"/>
        <w:jc w:val="center"/>
      </w:pPr>
      <w:r>
        <w:rPr>
          <w:b/>
        </w:rPr>
        <w:t>REPORT:</w:t>
      </w:r>
    </w:p>
    <w:p w:rsidR="00AB2F06" w:rsidRDefault="00AB2F06" w:rsidP="00552131">
      <w:pPr>
        <w:pStyle w:val="BillDots"/>
      </w:pPr>
      <w:r>
        <w:tab/>
        <w:t>That they have duly and carefully considered the same and recommend that the same do pass with amendment:</w:t>
      </w:r>
    </w:p>
    <w:p w:rsidR="00AB2F06" w:rsidRDefault="00AB2F06" w:rsidP="00552131">
      <w:pPr>
        <w:pStyle w:val="BillDots"/>
      </w:pP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190">
        <w:t>Amend the bill, as and if amended, Section 44-70-40 beginning on page 2, line 39 by deleting lines 39 through 42 and inserting:</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tab/>
        <w:t>/</w:t>
      </w:r>
      <w:r w:rsidRPr="002A7190">
        <w:rPr>
          <w:u w:color="000000" w:themeColor="text1"/>
        </w:rPr>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 xml:space="preserve">home care providers. </w:t>
      </w:r>
      <w:r w:rsidR="00C02030">
        <w:rPr>
          <w:u w:color="000000" w:themeColor="text1"/>
        </w:rPr>
        <w:t>T</w:t>
      </w:r>
      <w:r w:rsidRPr="002A7190">
        <w:rPr>
          <w:u w:color="000000" w:themeColor="text1"/>
        </w:rPr>
        <w:t>he department must use as a basis for these regulations the current standards for the appropriate levels of care of as outlined in Medicaid Scope of Services for Personal Care II Services as/.  So when amended Section 44-70-40 reads:</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 xml:space="preserve">home care providers. </w:t>
      </w:r>
      <w:r w:rsidR="00C02030">
        <w:rPr>
          <w:u w:color="000000" w:themeColor="text1"/>
        </w:rPr>
        <w:t>T</w:t>
      </w:r>
      <w:r w:rsidRPr="002A7190">
        <w:rPr>
          <w:u w:color="000000" w:themeColor="text1"/>
        </w:rPr>
        <w:t xml:space="preserve">he department must use as a basis for these regulations the current standards for the appropriate levels of care of as outlined in Medicaid Scope of Services for Personal Care II Services as outlined by the </w:t>
      </w:r>
      <w:r w:rsidRPr="002A7190">
        <w:rPr>
          <w:u w:color="000000" w:themeColor="text1"/>
        </w:rPr>
        <w:lastRenderedPageBreak/>
        <w:t xml:space="preserve">Department of Health and Human Services and in use on July 1, 2010, and must include: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(1)</w:t>
      </w:r>
      <w:r w:rsidRPr="002A7190">
        <w:rPr>
          <w:u w:color="000000" w:themeColor="text1"/>
        </w:rPr>
        <w:tab/>
        <w:t xml:space="preserve">license application and renewal procedures;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(2)</w:t>
      </w:r>
      <w:r w:rsidRPr="002A7190">
        <w:rPr>
          <w:u w:color="000000" w:themeColor="text1"/>
        </w:rPr>
        <w:tab/>
        <w:t>criminal background checks for licensure applicants, which may include criminal offenses that preclude licensure;</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(3)</w:t>
      </w:r>
      <w:r w:rsidRPr="002A7190">
        <w:rPr>
          <w:u w:color="000000" w:themeColor="text1"/>
        </w:rPr>
        <w:tab/>
        <w:t xml:space="preserve">responsibilities and duties of a licensee, including requirements for bonding, record keeping, and reporting;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(4)</w:t>
      </w:r>
      <w:r w:rsidRPr="002A7190">
        <w:rPr>
          <w:u w:color="000000" w:themeColor="text1"/>
        </w:rPr>
        <w:tab/>
        <w:t xml:space="preserve">fees the department may charge to process an application for a license, the issuance of a license, the renewal of a license, and the reinstatement of a revoked or suspended license;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(5)</w:t>
      </w:r>
      <w:r w:rsidRPr="002A7190">
        <w:rPr>
          <w:u w:color="000000" w:themeColor="text1"/>
        </w:rPr>
        <w:tab/>
        <w:t>criteria that a licensee’s employee, agent, independent contractor or referral must satisfy before providing in</w:t>
      </w:r>
      <w:r w:rsidRPr="002A7190">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2A7190">
        <w:rPr>
          <w:u w:color="000000" w:themeColor="text1"/>
        </w:rPr>
        <w:tab/>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190">
        <w:rPr>
          <w:u w:color="000000" w:themeColor="text1"/>
        </w:rPr>
        <w:tab/>
        <w:t>(6)</w:t>
      </w:r>
      <w:r w:rsidRPr="002A7190">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2A7190">
        <w:rPr>
          <w:u w:color="000000" w:themeColor="text1"/>
        </w:rPr>
        <w:noBreakHyphen/>
        <w:t>1</w:t>
      </w:r>
      <w:r w:rsidRPr="002A7190">
        <w:rPr>
          <w:u w:color="000000" w:themeColor="text1"/>
        </w:rPr>
        <w:noBreakHyphen/>
        <w:t>60./</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A7190">
        <w:rPr>
          <w:szCs w:val="24"/>
        </w:rPr>
        <w:t>Renumber sections to conform.</w:t>
      </w:r>
    </w:p>
    <w:p w:rsidR="00AB2F06"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A7190">
        <w:rPr>
          <w:szCs w:val="24"/>
        </w:rPr>
        <w:t>Amend title to conform.</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LEON HOWARD</w:t>
      </w:r>
      <w:r>
        <w:tab/>
        <w:t>JOHN RICHARD C. KING</w:t>
      </w: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B2F06" w:rsidRPr="00AB2F06" w:rsidRDefault="00AB2F06" w:rsidP="00AB2F06">
      <w:pPr>
        <w:pStyle w:val="BillDots"/>
        <w:jc w:val="center"/>
      </w:pPr>
      <w:r>
        <w:rPr>
          <w:u w:val="single"/>
        </w:rPr>
        <w:t>            </w:t>
      </w:r>
    </w:p>
    <w:p w:rsidR="00AB2F06" w:rsidRDefault="00AB2F06" w:rsidP="00552131">
      <w:pPr>
        <w:pStyle w:val="BillDots"/>
      </w:pPr>
    </w:p>
    <w:p w:rsidR="00AB2F06" w:rsidRPr="00AB2F06" w:rsidRDefault="00AB2F06" w:rsidP="00AB2F06">
      <w:pPr>
        <w:pStyle w:val="BillDots"/>
        <w:jc w:val="center"/>
      </w:pPr>
      <w:r>
        <w:rPr>
          <w:b/>
          <w:u w:val="single"/>
        </w:rPr>
        <w:t>STATEMENT OF ESTIMATED FISCAL IMPACT</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0843">
        <w:rPr>
          <w:szCs w:val="22"/>
        </w:rPr>
        <w:t>ESTIMATED FISCAL IMPACT ON GENERAL FUND EXPENDITURES: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40843">
        <w:rPr>
          <w:szCs w:val="22"/>
        </w:rPr>
        <w:t>See Below</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0843">
        <w:rPr>
          <w:szCs w:val="22"/>
        </w:rPr>
        <w:t>ESTIMATED FISCAL IMPACT ON FEDERAL &amp; OTHER FUND EXPENDITURES:</w:t>
      </w:r>
    </w:p>
    <w:p w:rsidR="00AB2F06" w:rsidRPr="00640843" w:rsidRDefault="00AB2F06" w:rsidP="00AB2F0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40843">
        <w:rPr>
          <w:szCs w:val="22"/>
        </w:rPr>
        <w:t>A Cost of Federal and/or Other Funds (See Below)</w:t>
      </w:r>
      <w:bookmarkStart w:id="2" w:name="c"/>
      <w:bookmarkEnd w:id="2"/>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0843">
        <w:rPr>
          <w:b/>
          <w:szCs w:val="22"/>
        </w:rPr>
        <w:t>EXPLANATION OF IMPACT:</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40843">
        <w:rPr>
          <w:szCs w:val="22"/>
          <w:u w:val="single"/>
        </w:rPr>
        <w:t>Department of Health &amp; Environmental Control</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w:t>
      </w:r>
      <w:r>
        <w:rPr>
          <w:szCs w:val="22"/>
        </w:rPr>
        <w:t>d</w:t>
      </w:r>
      <w:r w:rsidRPr="00640843">
        <w:rPr>
          <w:szCs w:val="22"/>
        </w:rPr>
        <w:t xml:space="preserve">epartment reports that the costs associated with the development and implementation of regulations and procedures will be covered by license fees paid by in-home care providers. There would be no cost to the </w:t>
      </w:r>
      <w:r>
        <w:rPr>
          <w:szCs w:val="22"/>
        </w:rPr>
        <w:t>s</w:t>
      </w:r>
      <w:r w:rsidRPr="00640843">
        <w:rPr>
          <w:szCs w:val="22"/>
        </w:rPr>
        <w:t xml:space="preserve">tate </w:t>
      </w:r>
      <w:r>
        <w:rPr>
          <w:szCs w:val="22"/>
        </w:rPr>
        <w:t>g</w:t>
      </w:r>
      <w:r w:rsidRPr="00640843">
        <w:rPr>
          <w:szCs w:val="22"/>
        </w:rPr>
        <w:t>eneral</w:t>
      </w:r>
      <w:r>
        <w:rPr>
          <w:szCs w:val="22"/>
        </w:rPr>
        <w:t xml:space="preserve"> f</w:t>
      </w:r>
      <w:r w:rsidRPr="00640843">
        <w:rPr>
          <w:szCs w:val="22"/>
        </w:rPr>
        <w:t xml:space="preserve">und. The </w:t>
      </w:r>
      <w:r>
        <w:rPr>
          <w:szCs w:val="22"/>
        </w:rPr>
        <w:t>d</w:t>
      </w:r>
      <w:r w:rsidRPr="00640843">
        <w:rPr>
          <w:szCs w:val="22"/>
        </w:rPr>
        <w:t>epartment estimates annual operating costs to be $211,622 (</w:t>
      </w:r>
      <w:r>
        <w:rPr>
          <w:szCs w:val="22"/>
        </w:rPr>
        <w:t>o</w:t>
      </w:r>
      <w:r w:rsidRPr="00640843">
        <w:rPr>
          <w:szCs w:val="22"/>
        </w:rPr>
        <w:t xml:space="preserve">ther </w:t>
      </w:r>
      <w:r>
        <w:rPr>
          <w:szCs w:val="22"/>
        </w:rPr>
        <w:t>f</w:t>
      </w:r>
      <w:r w:rsidRPr="00640843">
        <w:rPr>
          <w:szCs w:val="22"/>
        </w:rPr>
        <w:t xml:space="preserve">unds) with </w:t>
      </w:r>
      <w:r w:rsidRPr="00640843">
        <w:rPr>
          <w:szCs w:val="22"/>
        </w:rPr>
        <w:lastRenderedPageBreak/>
        <w:t>an additional first-year (non-recurring) cost of $40,762 (</w:t>
      </w:r>
      <w:r>
        <w:rPr>
          <w:szCs w:val="22"/>
        </w:rPr>
        <w:t>o</w:t>
      </w:r>
      <w:r w:rsidRPr="00640843">
        <w:rPr>
          <w:szCs w:val="22"/>
        </w:rPr>
        <w:t xml:space="preserve">ther </w:t>
      </w:r>
      <w:r>
        <w:rPr>
          <w:szCs w:val="22"/>
        </w:rPr>
        <w:t>f</w:t>
      </w:r>
      <w:r w:rsidRPr="00640843">
        <w:rPr>
          <w:szCs w:val="22"/>
        </w:rPr>
        <w:t>unds).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0843">
        <w:rPr>
          <w:szCs w:val="22"/>
          <w:u w:val="single"/>
        </w:rPr>
        <w:t>Department of Health &amp; Human Services (DHHS)</w:t>
      </w:r>
    </w:p>
    <w:p w:rsidR="00AB2F06" w:rsidRPr="00640843" w:rsidRDefault="00C65AB4"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AB2F06" w:rsidRPr="00640843">
        <w:rPr>
          <w:szCs w:val="22"/>
        </w:rPr>
        <w:t xml:space="preserve">DHHS reports it currently contracts with 200 provider companies that would need to be licensed under this </w:t>
      </w:r>
      <w:r w:rsidR="00AB2F06">
        <w:rPr>
          <w:szCs w:val="22"/>
        </w:rPr>
        <w:t>B</w:t>
      </w:r>
      <w:r w:rsidR="00AB2F06" w:rsidRPr="00640843">
        <w:rPr>
          <w:szCs w:val="22"/>
        </w:rPr>
        <w:t>ill. License fees and associated costs incurred by providers, as a cost of providing services to Medicaid-eligible recipients, may be passed on to DHHS if the approved Medicaid reimbursement rates are modified to include these additional fees/costs. However, contracts would have to be amended for there to be a direct impact on DHHS.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0843">
        <w:rPr>
          <w:szCs w:val="22"/>
          <w:u w:val="single"/>
        </w:rPr>
        <w:t>Department of Mental Health, Department of Disabilities and Special Needs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w:t>
      </w:r>
      <w:r w:rsidR="00C65AB4">
        <w:rPr>
          <w:szCs w:val="22"/>
        </w:rPr>
        <w:t>d</w:t>
      </w:r>
      <w:r w:rsidRPr="00640843">
        <w:rPr>
          <w:szCs w:val="22"/>
        </w:rPr>
        <w:t xml:space="preserve">epartments indicate enactment of this </w:t>
      </w:r>
      <w:r>
        <w:rPr>
          <w:szCs w:val="22"/>
        </w:rPr>
        <w:t>b</w:t>
      </w:r>
      <w:r w:rsidRPr="00640843">
        <w:rPr>
          <w:szCs w:val="22"/>
        </w:rPr>
        <w:t xml:space="preserve">ill would have no impact on the General Fund of the State or </w:t>
      </w:r>
      <w:r>
        <w:rPr>
          <w:szCs w:val="22"/>
        </w:rPr>
        <w:t>f</w:t>
      </w:r>
      <w:r w:rsidRPr="00640843">
        <w:rPr>
          <w:szCs w:val="22"/>
        </w:rPr>
        <w:t xml:space="preserve">ederal and/or </w:t>
      </w:r>
      <w:r>
        <w:rPr>
          <w:szCs w:val="22"/>
        </w:rPr>
        <w:t>o</w:t>
      </w:r>
      <w:r w:rsidRPr="00640843">
        <w:rPr>
          <w:szCs w:val="22"/>
        </w:rPr>
        <w:t xml:space="preserve">ther </w:t>
      </w:r>
      <w:r>
        <w:rPr>
          <w:szCs w:val="22"/>
        </w:rPr>
        <w:t>f</w:t>
      </w:r>
      <w:r w:rsidRPr="00640843">
        <w:rPr>
          <w:szCs w:val="22"/>
        </w:rPr>
        <w:t>unds.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0843">
        <w:rPr>
          <w:szCs w:val="22"/>
          <w:u w:val="single"/>
        </w:rPr>
        <w:t>State Law Enforcement Division</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w:t>
      </w:r>
      <w:r>
        <w:rPr>
          <w:szCs w:val="22"/>
        </w:rPr>
        <w:t>d</w:t>
      </w:r>
      <w:r w:rsidRPr="00640843">
        <w:rPr>
          <w:szCs w:val="22"/>
        </w:rPr>
        <w:t xml:space="preserve">ivision indicates that enactment of this </w:t>
      </w:r>
      <w:r>
        <w:rPr>
          <w:szCs w:val="22"/>
        </w:rPr>
        <w:t>b</w:t>
      </w:r>
      <w:r w:rsidRPr="00640843">
        <w:rPr>
          <w:szCs w:val="22"/>
        </w:rPr>
        <w:t>ill will have a minimal impact on the General Fund of the State. Any additional administrative costs will be absorbed by the agency at their current level of funding. The actual cost of the record checks and transmission of results would be paid for from fees paid by in-home care providers.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rPr>
      </w:pPr>
      <w:r w:rsidRPr="00640843">
        <w:rPr>
          <w:b/>
          <w:szCs w:val="22"/>
          <w:u w:val="single"/>
        </w:rPr>
        <w:t>Recapitulation:</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cost to the </w:t>
      </w:r>
      <w:r>
        <w:rPr>
          <w:szCs w:val="22"/>
        </w:rPr>
        <w:t>g</w:t>
      </w:r>
      <w:r w:rsidRPr="00640843">
        <w:rPr>
          <w:szCs w:val="22"/>
        </w:rPr>
        <w:t xml:space="preserve">eneral </w:t>
      </w:r>
      <w:r>
        <w:rPr>
          <w:szCs w:val="22"/>
        </w:rPr>
        <w:t>f</w:t>
      </w:r>
      <w:r w:rsidRPr="00640843">
        <w:rPr>
          <w:szCs w:val="22"/>
        </w:rPr>
        <w:t>und, as indicated by the reporting agencies, would be zero or minimal. Any potential impact DHHS is not anticipated to be significant.  The costs associated with operating the program and criminal record checks would be covered by fees.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0843">
        <w:rPr>
          <w:b/>
          <w:szCs w:val="22"/>
        </w:rPr>
        <w:t>SPECIAL NOTES: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40843">
        <w:rPr>
          <w:szCs w:val="22"/>
        </w:rPr>
        <w:t xml:space="preserve">The </w:t>
      </w:r>
      <w:r>
        <w:rPr>
          <w:szCs w:val="22"/>
        </w:rPr>
        <w:t>c</w:t>
      </w:r>
      <w:r w:rsidRPr="00640843">
        <w:rPr>
          <w:szCs w:val="22"/>
        </w:rPr>
        <w:t>ommittee may wish to clarify the type(s) of criminal background check that DHEC should require. There are two types: state background checks are conducted by SLED; national background checks are conducted by the FBI.  Each type of background check requires a separate fee.</w:t>
      </w:r>
    </w:p>
    <w:p w:rsidR="00AB2F06" w:rsidRDefault="00AB2F06" w:rsidP="00552131">
      <w:pPr>
        <w:pStyle w:val="BillDots"/>
      </w:pP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ab/>
        <w:t>Harry Bell</w:t>
      </w:r>
    </w:p>
    <w:p w:rsidR="00AB2F06" w:rsidRP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B2F06" w:rsidRDefault="00AB2F06" w:rsidP="00552131">
      <w:pPr>
        <w:pStyle w:val="BillDots"/>
      </w:pP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Start w:id="8" w:name="titleend"/>
      <w:bookmarkEnd w:id="7"/>
      <w:bookmarkEnd w:id="8"/>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sidR="00C02030">
        <w:rPr>
          <w:color w:val="000000" w:themeColor="text1"/>
          <w:u w:color="000000" w:themeColor="text1"/>
        </w:rPr>
        <w:t xml:space="preserve"> </w:t>
      </w:r>
      <w:r w:rsidRPr="008949B4">
        <w:rPr>
          <w:color w:val="000000" w:themeColor="text1"/>
          <w:u w:color="000000" w:themeColor="text1"/>
        </w:rPr>
        <w:t>or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661558" w:rsidRPr="008949B4">
        <w:rPr>
          <w:color w:val="000000" w:themeColor="text1"/>
          <w:u w:color="000000" w:themeColor="text1"/>
        </w:rPr>
        <w:tab/>
        <w:t>a direct care entity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(B)(1)(e), a direct caregiver or caregiver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(B)(2)(e) or an individual who provides a service or services defined by Section 44</w:t>
      </w:r>
      <w:r w:rsidR="00515083">
        <w:rPr>
          <w:color w:val="000000" w:themeColor="text1"/>
          <w:u w:color="000000" w:themeColor="text1"/>
        </w:rPr>
        <w:noBreakHyphen/>
      </w:r>
      <w:r w:rsidR="00661558" w:rsidRPr="008949B4">
        <w:rPr>
          <w:color w:val="000000" w:themeColor="text1"/>
          <w:u w:color="000000" w:themeColor="text1"/>
        </w:rPr>
        <w:t>21</w:t>
      </w:r>
      <w:r w:rsidR="00515083">
        <w:rPr>
          <w:color w:val="000000" w:themeColor="text1"/>
          <w:u w:color="000000" w:themeColor="text1"/>
        </w:rPr>
        <w:noBreakHyphen/>
      </w:r>
      <w:r w:rsidR="00661558"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w:t>
      </w:r>
      <w:r w:rsidRPr="008949B4">
        <w:rPr>
          <w:color w:val="000000" w:themeColor="text1"/>
          <w:u w:color="000000" w:themeColor="text1"/>
        </w:rPr>
        <w:tab/>
        <w:t>The department shall promulgate regulations for the licensure of in</w:t>
      </w:r>
      <w:r w:rsidR="00515083">
        <w:rPr>
          <w:color w:val="000000" w:themeColor="text1"/>
          <w:u w:color="000000" w:themeColor="text1"/>
        </w:rPr>
        <w:noBreakHyphen/>
      </w:r>
      <w:r w:rsidRPr="008949B4">
        <w:rPr>
          <w:color w:val="000000" w:themeColor="text1"/>
          <w:u w:color="000000" w:themeColor="text1"/>
        </w:rPr>
        <w:t xml:space="preserve">home care providers. These regulations must be at a minimum equivalent to current standards outlined in Medicaid Scope of Services for Personal Care II Services as </w:t>
      </w:r>
      <w:r w:rsidRPr="008949B4">
        <w:rPr>
          <w:color w:val="000000" w:themeColor="text1"/>
          <w:u w:color="000000" w:themeColor="text1"/>
        </w:rPr>
        <w:lastRenderedPageBreak/>
        <w:t xml:space="preserve">outlined by the Department of Health and Human Services and in use on July 1, 2010, and must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license application and renewal procedures;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criminal background checks for licensure applicants, which may include criminal offenses that preclude licensure;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t xml:space="preserve">responsibilities and duties of a licensee, including requirements for bonding, record keeping, and reporting;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(4)</w:t>
      </w:r>
      <w:r w:rsidRPr="008949B4">
        <w:rPr>
          <w:color w:val="000000" w:themeColor="text1"/>
          <w:u w:color="000000" w:themeColor="text1"/>
        </w:rPr>
        <w:tab/>
        <w:t xml:space="preserve">fees the department may charge to process an application for a license, the issuance of a license, the renewal of a license, and the reinstatement of a revoked or suspended license;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(5)</w:t>
      </w:r>
      <w:r w:rsidRPr="008949B4">
        <w:rPr>
          <w:color w:val="000000" w:themeColor="text1"/>
          <w:u w:color="000000" w:themeColor="text1"/>
        </w:rPr>
        <w:tab/>
        <w:t>criteria that a licensee</w:t>
      </w:r>
      <w:r w:rsidR="00515083" w:rsidRPr="00515083">
        <w:rPr>
          <w:color w:val="000000" w:themeColor="text1"/>
          <w:u w:color="000000" w:themeColor="text1"/>
        </w:rPr>
        <w:t>’</w:t>
      </w:r>
      <w:r w:rsidRPr="008949B4">
        <w:rPr>
          <w:color w:val="000000" w:themeColor="text1"/>
          <w:u w:color="000000" w:themeColor="text1"/>
        </w:rPr>
        <w:t>s employee, agent, independent contractor or referral must satisfy before providing in</w:t>
      </w:r>
      <w:r w:rsidR="00515083">
        <w:rPr>
          <w:color w:val="000000" w:themeColor="text1"/>
          <w:u w:color="000000" w:themeColor="text1"/>
        </w:rPr>
        <w:noBreakHyphen/>
      </w:r>
      <w:r w:rsidRPr="008949B4">
        <w:rPr>
          <w:color w:val="000000" w:themeColor="text1"/>
          <w:u w:color="000000" w:themeColor="text1"/>
        </w:rPr>
        <w:t>home care service. These criteria must include, but are not limited to, personal information, completion of a minimum education requirement, completion of minimum training and continuing education requirements, and screening for communicable diseases; and</w:t>
      </w:r>
      <w:r w:rsidRPr="008949B4">
        <w:rPr>
          <w:color w:val="000000" w:themeColor="text1"/>
          <w:u w:color="000000" w:themeColor="text1"/>
        </w:rPr>
        <w:tab/>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(6)</w:t>
      </w:r>
      <w:r w:rsidRPr="008949B4">
        <w:rPr>
          <w:color w:val="000000" w:themeColor="text1"/>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00515083">
        <w:rPr>
          <w:color w:val="000000" w:themeColor="text1"/>
          <w:u w:color="000000" w:themeColor="text1"/>
        </w:rPr>
        <w:noBreakHyphen/>
      </w:r>
      <w:r w:rsidRPr="008949B4">
        <w:rPr>
          <w:color w:val="000000" w:themeColor="text1"/>
          <w:u w:color="000000" w:themeColor="text1"/>
        </w:rPr>
        <w:t>1</w:t>
      </w:r>
      <w:r w:rsidR="00515083">
        <w:rPr>
          <w:color w:val="000000" w:themeColor="text1"/>
          <w:u w:color="000000" w:themeColor="text1"/>
        </w:rPr>
        <w:noBreakHyphen/>
      </w:r>
      <w:r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sidR="00515083">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 xml:space="preserve">40.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(B)</w:t>
      </w:r>
      <w:r w:rsidRPr="008949B4">
        <w:rPr>
          <w:color w:val="000000" w:themeColor="text1"/>
          <w:u w:color="000000" w:themeColor="text1"/>
        </w:rPr>
        <w:tab/>
        <w:t xml:space="preserve"> Before being employed as an in</w:t>
      </w:r>
      <w:r w:rsidR="00515083">
        <w:rPr>
          <w:color w:val="000000" w:themeColor="text1"/>
          <w:u w:color="000000" w:themeColor="text1"/>
        </w:rPr>
        <w:noBreakHyphen/>
      </w:r>
      <w:r w:rsidRPr="008949B4">
        <w:rPr>
          <w:color w:val="000000" w:themeColor="text1"/>
          <w:u w:color="000000" w:themeColor="text1"/>
        </w:rPr>
        <w:t>home caregiver by a licensed in</w:t>
      </w:r>
      <w:r w:rsidR="00515083">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E9183C">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6D8FE8-7F20-4FBD-8F98-F16F3DA9E25F}"/>
    <w:embedBold r:id="rId2" w:fontKey="{82A49857-FE97-4BE1-B34D-EB63F0A92805}"/>
    <w:embedItalic r:id="rId3" w:fontKey="{9BBBF561-42C5-4B0A-A31E-F95EF0976284}"/>
  </w:font>
  <w:font w:name="Calibri">
    <w:panose1 w:val="020F0502020204030204"/>
    <w:charset w:val="00"/>
    <w:family w:val="swiss"/>
    <w:pitch w:val="variable"/>
    <w:sig w:usb0="A00002EF" w:usb1="4000207B" w:usb2="00000000" w:usb3="00000000" w:csb0="0000009F" w:csb1="00000000"/>
    <w:embedRegular r:id="rId4" w:fontKey="{6175FE41-03FD-4EAA-B2E5-D1D564C01DD9}"/>
  </w:font>
  <w:font w:name="Tahoma">
    <w:panose1 w:val="020B0604030504040204"/>
    <w:charset w:val="00"/>
    <w:family w:val="swiss"/>
    <w:pitch w:val="variable"/>
    <w:sig w:usb0="61002A87" w:usb1="80000000" w:usb2="00000008" w:usb3="00000000" w:csb0="000101FF" w:csb1="00000000"/>
    <w:embedRegular r:id="rId5" w:fontKey="{ACBC192B-A1BD-40BD-B049-52D2389EF5B6}"/>
  </w:font>
  <w:font w:name="Cambria">
    <w:panose1 w:val="02040503050406030204"/>
    <w:charset w:val="00"/>
    <w:family w:val="roman"/>
    <w:pitch w:val="variable"/>
    <w:sig w:usb0="A00002EF" w:usb1="4000004B" w:usb2="00000000" w:usb3="00000000" w:csb0="0000009F" w:csb1="00000000"/>
    <w:embedRegular r:id="rId6" w:fontKey="{C7F593A9-74B7-4888-908F-1409C6809F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E9183C">
        <w:rPr>
          <w:noProof/>
        </w:rPr>
        <w:t>3</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E918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11869"/>
    <w:rsid w:val="00067AEE"/>
    <w:rsid w:val="000716A0"/>
    <w:rsid w:val="000C7BF1"/>
    <w:rsid w:val="000E1785"/>
    <w:rsid w:val="000F40FA"/>
    <w:rsid w:val="0010776B"/>
    <w:rsid w:val="00133E66"/>
    <w:rsid w:val="001435A3"/>
    <w:rsid w:val="00176FCD"/>
    <w:rsid w:val="001D08F2"/>
    <w:rsid w:val="001D525B"/>
    <w:rsid w:val="001D7F4F"/>
    <w:rsid w:val="002321B6"/>
    <w:rsid w:val="00250967"/>
    <w:rsid w:val="002543C8"/>
    <w:rsid w:val="00284AAE"/>
    <w:rsid w:val="002A5BBE"/>
    <w:rsid w:val="002E5912"/>
    <w:rsid w:val="00325348"/>
    <w:rsid w:val="0032732C"/>
    <w:rsid w:val="00336AD0"/>
    <w:rsid w:val="0037079A"/>
    <w:rsid w:val="003B69C6"/>
    <w:rsid w:val="003D01E8"/>
    <w:rsid w:val="003E5288"/>
    <w:rsid w:val="003F6D79"/>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913C9"/>
    <w:rsid w:val="0069470D"/>
    <w:rsid w:val="006D6C5B"/>
    <w:rsid w:val="007041FC"/>
    <w:rsid w:val="00713817"/>
    <w:rsid w:val="00734F00"/>
    <w:rsid w:val="007A6733"/>
    <w:rsid w:val="007A70AE"/>
    <w:rsid w:val="007E398A"/>
    <w:rsid w:val="008362E8"/>
    <w:rsid w:val="008A1768"/>
    <w:rsid w:val="008C2A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D4B17"/>
    <w:rsid w:val="00AE05FD"/>
    <w:rsid w:val="00AF0F64"/>
    <w:rsid w:val="00B01255"/>
    <w:rsid w:val="00B412D4"/>
    <w:rsid w:val="00BE3C22"/>
    <w:rsid w:val="00C02030"/>
    <w:rsid w:val="00C0345E"/>
    <w:rsid w:val="00C07575"/>
    <w:rsid w:val="00C3483A"/>
    <w:rsid w:val="00C424CC"/>
    <w:rsid w:val="00C65AB4"/>
    <w:rsid w:val="00C74E9D"/>
    <w:rsid w:val="00C82FD3"/>
    <w:rsid w:val="00C84703"/>
    <w:rsid w:val="00C92819"/>
    <w:rsid w:val="00CC6B7B"/>
    <w:rsid w:val="00CD2089"/>
    <w:rsid w:val="00D65B8C"/>
    <w:rsid w:val="00D73A67"/>
    <w:rsid w:val="00D970A9"/>
    <w:rsid w:val="00DF3845"/>
    <w:rsid w:val="00E41911"/>
    <w:rsid w:val="00E9183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190D8-84C0-4C05-8516-7F905E0C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2010-01-14T17:38:00Z</cp:lastPrinted>
  <dcterms:created xsi:type="dcterms:W3CDTF">2010-03-25T17:52:00Z</dcterms:created>
  <dcterms:modified xsi:type="dcterms:W3CDTF">2010-03-25T17:52:00Z</dcterms:modified>
</cp:coreProperties>
</file>