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08E" w:rsidRDefault="0042108E" w:rsidP="001D7F4F">
      <w:pPr>
        <w:pStyle w:val="BillDots"/>
      </w:pPr>
      <w:r>
        <w:rPr>
          <w:strike/>
        </w:rPr>
        <w:t>Indicates Matter Stricken</w:t>
      </w:r>
    </w:p>
    <w:p w:rsidR="0042108E" w:rsidRPr="0042108E" w:rsidRDefault="0042108E" w:rsidP="001D7F4F">
      <w:pPr>
        <w:pStyle w:val="BillDots"/>
      </w:pPr>
      <w:r>
        <w:rPr>
          <w:u w:val="single"/>
        </w:rPr>
        <w:t>Indicates New Matter</w:t>
      </w:r>
    </w:p>
    <w:p w:rsidR="0042108E" w:rsidRDefault="0042108E" w:rsidP="001D7F4F">
      <w:pPr>
        <w:pStyle w:val="BillDots"/>
      </w:pPr>
    </w:p>
    <w:p w:rsidR="0042108E" w:rsidRDefault="00A61CEF" w:rsidP="001D7F4F">
      <w:pPr>
        <w:pStyle w:val="BillDots"/>
      </w:pPr>
      <w:r>
        <w:t>AMENDED</w:t>
      </w:r>
    </w:p>
    <w:p w:rsidR="0042108E" w:rsidRDefault="006076AC" w:rsidP="001D7F4F">
      <w:pPr>
        <w:pStyle w:val="BillDots"/>
      </w:pPr>
      <w:r>
        <w:t>May 12</w:t>
      </w:r>
      <w:r w:rsidR="0042108E">
        <w:t>, 2010</w:t>
      </w:r>
    </w:p>
    <w:p w:rsidR="0042108E" w:rsidRDefault="0042108E" w:rsidP="001D7F4F">
      <w:pPr>
        <w:pStyle w:val="BillDots"/>
      </w:pPr>
    </w:p>
    <w:p w:rsidR="0042108E" w:rsidRPr="0042108E" w:rsidRDefault="0042108E" w:rsidP="0042108E">
      <w:pPr>
        <w:pStyle w:val="BillDots"/>
        <w:tabs>
          <w:tab w:val="clear" w:pos="216"/>
          <w:tab w:val="clear" w:pos="432"/>
          <w:tab w:val="clear" w:pos="648"/>
          <w:tab w:val="clear" w:pos="864"/>
          <w:tab w:val="clear" w:pos="1080"/>
          <w:tab w:val="clear" w:pos="1296"/>
          <w:tab w:val="clear" w:pos="5904"/>
          <w:tab w:val="right" w:pos="5933"/>
        </w:tabs>
      </w:pPr>
      <w:r>
        <w:tab/>
      </w:r>
      <w:r>
        <w:rPr>
          <w:b/>
          <w:sz w:val="36"/>
        </w:rPr>
        <w:t>H. 4542</w:t>
      </w:r>
    </w:p>
    <w:p w:rsidR="0042108E" w:rsidRDefault="0042108E" w:rsidP="001D7F4F">
      <w:pPr>
        <w:pStyle w:val="BillDots"/>
      </w:pPr>
    </w:p>
    <w:p w:rsidR="0042108E" w:rsidRDefault="0042108E" w:rsidP="0042108E">
      <w:pPr>
        <w:pStyle w:val="BillDots"/>
        <w:jc w:val="center"/>
      </w:pPr>
      <w:r>
        <w:t>Introduced by Reps. Harrison, Weeks and McLeod</w:t>
      </w:r>
    </w:p>
    <w:p w:rsidR="0042108E" w:rsidRDefault="0042108E" w:rsidP="001D7F4F">
      <w:pPr>
        <w:pStyle w:val="BillDots"/>
      </w:pPr>
    </w:p>
    <w:p w:rsidR="0042108E" w:rsidRDefault="006076AC" w:rsidP="001D7F4F">
      <w:pPr>
        <w:pStyle w:val="BillDots"/>
      </w:pPr>
      <w:r>
        <w:t>S. Printed 5/12</w:t>
      </w:r>
      <w:r w:rsidR="0042108E">
        <w:t>/10--S.</w:t>
      </w:r>
    </w:p>
    <w:p w:rsidR="0042108E" w:rsidRDefault="0042108E" w:rsidP="001D7F4F">
      <w:pPr>
        <w:pStyle w:val="BillDots"/>
      </w:pPr>
      <w:r>
        <w:t>Read the first time April 21, 2010.</w:t>
      </w:r>
    </w:p>
    <w:p w:rsidR="0042108E" w:rsidRPr="0042108E" w:rsidRDefault="0042108E" w:rsidP="0042108E">
      <w:pPr>
        <w:pStyle w:val="BillDots"/>
        <w:jc w:val="center"/>
      </w:pPr>
      <w:r>
        <w:rPr>
          <w:u w:val="single"/>
        </w:rPr>
        <w:t>            </w:t>
      </w:r>
    </w:p>
    <w:p w:rsidR="0042108E" w:rsidRDefault="0042108E" w:rsidP="001D7F4F">
      <w:pPr>
        <w:pStyle w:val="BillDots"/>
      </w:pPr>
    </w:p>
    <w:p w:rsidR="00CF25C4" w:rsidRPr="00CF25C4" w:rsidRDefault="00CF25C4" w:rsidP="00CF25C4">
      <w:pPr>
        <w:pStyle w:val="BillDots"/>
        <w:tabs>
          <w:tab w:val="clear" w:pos="216"/>
          <w:tab w:val="clear" w:pos="432"/>
          <w:tab w:val="clear" w:pos="648"/>
          <w:tab w:val="clear" w:pos="864"/>
          <w:tab w:val="clear" w:pos="1080"/>
          <w:tab w:val="clear" w:pos="1296"/>
          <w:tab w:val="clear" w:pos="5904"/>
          <w:tab w:val="left" w:pos="3024"/>
        </w:tabs>
      </w:pPr>
    </w:p>
    <w:p w:rsidR="00CF25C4" w:rsidRDefault="00CF25C4" w:rsidP="001D7F4F">
      <w:pPr>
        <w:pStyle w:val="BillDots"/>
      </w:pPr>
    </w:p>
    <w:p w:rsidR="00462287" w:rsidRDefault="00462287" w:rsidP="001D7F4F">
      <w:pPr>
        <w:pStyle w:val="BillDots"/>
        <w:sectPr w:rsidR="00462287" w:rsidSect="004622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6C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BE" w:rsidRDefault="003B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EC5A70">
        <w:noBreakHyphen/>
      </w:r>
      <w:r>
        <w:t>13</w:t>
      </w:r>
      <w:r w:rsidR="00EC5A70">
        <w:noBreakHyphen/>
      </w:r>
      <w:r>
        <w:t xml:space="preserve">320, AS AMENDED, CODE OF LAWS OF SOUTH CAROLINA, 1976, RELATING TO </w:t>
      </w:r>
      <w:r w:rsidR="004B687C">
        <w:t>DUTIES AND POWERS</w:t>
      </w:r>
      <w:r>
        <w:t xml:space="preserve"> OF THE STATE ETHICS COMMISSION, SO AS TO </w:t>
      </w:r>
      <w:r w:rsidR="004B687C">
        <w:t>DELETE THE PROHIBITION OF THE RELEASE OF INFORMATION UNTIL FINAL DISPOSITION OF AN ETHICS INVESTIGATION AND REQUIRE THAT THE INFORMATION MAY NOT BE RELEASED UNTIL A FINDING OF PROBABLE CAUSE HAS BEEN MADE.</w:t>
      </w:r>
    </w:p>
    <w:p w:rsidR="00A61CEF" w:rsidRDefault="00A61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03859">
        <w:t>SECTION</w:t>
      </w:r>
      <w:r w:rsidRPr="00E03859">
        <w:tab/>
        <w:t>1.</w:t>
      </w:r>
      <w:r w:rsidRPr="00E03859">
        <w:tab/>
        <w:t>Section 8</w:t>
      </w:r>
      <w:r w:rsidRPr="00E03859">
        <w:noBreakHyphen/>
        <w:t>13</w:t>
      </w:r>
      <w:r w:rsidRPr="00E03859">
        <w:noBreakHyphen/>
        <w:t>320(10)(g) of the 1976 Code, as last amended by Act 387 of 2006, is further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“(g)</w:t>
      </w:r>
      <w:r w:rsidRPr="00E03859">
        <w:tab/>
        <w:t xml:space="preserve">All investigations, inquiries, hearings, and accompanying documents must remain confidential until </w:t>
      </w:r>
      <w:r w:rsidRPr="00E03859">
        <w:rPr>
          <w:strike/>
        </w:rPr>
        <w:t>final disposition of a matter</w:t>
      </w:r>
      <w:r w:rsidRPr="00E03859">
        <w:t xml:space="preserve"> </w:t>
      </w:r>
      <w:r w:rsidRPr="00E03859">
        <w:rPr>
          <w:u w:val="single"/>
        </w:rPr>
        <w:t>a finding of probable cause or dismissal</w:t>
      </w:r>
      <w:r w:rsidRPr="00E03859">
        <w:t xml:space="preserve"> unless the respondent waives the right to confidentiality.  The willful release of confidential information is a misdemeanor, and any person releasing </w:t>
      </w:r>
      <w:r w:rsidRPr="00E03859">
        <w:rPr>
          <w:strike/>
        </w:rPr>
        <w:t>such</w:t>
      </w:r>
      <w:r w:rsidRPr="00E03859">
        <w:t xml:space="preserve"> confidential information, upon conviction, must be fined not more than one thousand dollars or imprisoned not more than one year.”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859">
        <w:rPr>
          <w:snapToGrid w:val="0"/>
        </w:rPr>
        <w:t>SECTION</w:t>
      </w:r>
      <w:r w:rsidRPr="00E03859">
        <w:rPr>
          <w:snapToGrid w:val="0"/>
        </w:rPr>
        <w:tab/>
        <w:t>2.</w:t>
      </w:r>
      <w:r w:rsidRPr="00E03859">
        <w:rPr>
          <w:snapToGrid w:val="0"/>
        </w:rPr>
        <w:tab/>
        <w:t>Section 8-13-540 of the 1976 Code is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076AC"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rPr>
          <w:snapToGrid w:val="0"/>
        </w:rPr>
        <w:tab/>
        <w:t>“Section 8-13-540.</w:t>
      </w:r>
      <w:r w:rsidRPr="00E03859">
        <w:rPr>
          <w:snapToGrid w:val="0"/>
        </w:rPr>
        <w:tab/>
      </w:r>
      <w:r w:rsidRPr="00E03859">
        <w:t xml:space="preserve">Unless otherwise provided for by House or Senate rule, as appropriate, each ethics committee must conduct its investigation of a complaint filed pursuant to this chapter or Chapter 17 of Title 2 in accordance with this section.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lastRenderedPageBreak/>
        <w:tab/>
        <w:t>(1)</w:t>
      </w:r>
      <w:r w:rsidRPr="00E03859">
        <w:tab/>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r w:rsidRPr="00E03859">
        <w:rPr>
          <w:u w:val="single"/>
        </w:rPr>
        <w:t xml:space="preserve">All investigations, inquiries, hearings, and accompanying documents must remain confidential until a finding of probable cause or dismissal, unless the respondent waives the right to confidentiality.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 xml:space="preserve">If after such preliminary investigation, the ethics committee finds that probable cause exists to support an alleged violation, it shall, as appropriate: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(a)</w:t>
      </w:r>
      <w:r w:rsidRPr="00E03859">
        <w:tab/>
        <w:t xml:space="preserve">render an advisory opinion to the respondent and require the respondent’s compliance within a reasonable time;  or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(b)</w:t>
      </w:r>
      <w:r w:rsidRPr="00E03859">
        <w:tab/>
        <w:t xml:space="preserve">convene a formal hearing on the matter within thirty days of the respondent’s failure to comply with the advisory opinion.  </w:t>
      </w:r>
      <w:r w:rsidRPr="00E03859">
        <w:rPr>
          <w:strike/>
        </w:rPr>
        <w:t>All ethics committee investigations and records relating to the preliminary investigation are confidential.</w:t>
      </w:r>
      <w:r w:rsidRPr="00E03859">
        <w:t xml:space="preserve">  No complaint shall be accepted which is filed later than four years after the alleged violation occurred.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(2)</w:t>
      </w:r>
      <w:r w:rsidRPr="00E03859">
        <w:tab/>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E03859">
        <w:noBreakHyphen/>
        <w:t xml:space="preserve">examine opposing witnesses.  All hearings must be conducted in </w:t>
      </w:r>
      <w:r w:rsidRPr="00E03859">
        <w:rPr>
          <w:strike/>
        </w:rPr>
        <w:t>executive</w:t>
      </w:r>
      <w:r w:rsidRPr="00E03859">
        <w:t xml:space="preserve"> </w:t>
      </w:r>
      <w:r w:rsidRPr="00E03859">
        <w:rPr>
          <w:u w:val="single"/>
        </w:rPr>
        <w:t>open</w:t>
      </w:r>
      <w:r w:rsidRPr="00E03859">
        <w:t xml:space="preserve"> session.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lastRenderedPageBreak/>
        <w:tab/>
        <w:t>(3)</w:t>
      </w:r>
      <w:r w:rsidRPr="00E03859">
        <w:tab/>
        <w:t xml:space="preserve">After the hearing, the ethics committee shall determine its findings of fact.  If the ethics committee, based on competent and substantial evidence, finds the respondent has violated this chapter or Chapter 17 of Title 2, it shall: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(a)</w:t>
      </w:r>
      <w:r w:rsidRPr="00E03859">
        <w:tab/>
        <w:t xml:space="preserve">administer a public or private reprimand;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(b)</w:t>
      </w:r>
      <w:r w:rsidRPr="00E03859">
        <w:tab/>
        <w:t>determine that a technical violation as provided for in Section 8</w:t>
      </w:r>
      <w:r w:rsidRPr="00E03859">
        <w:noBreakHyphen/>
        <w:t>13</w:t>
      </w:r>
      <w:r w:rsidRPr="00E03859">
        <w:noBreakHyphen/>
        <w:t xml:space="preserve">1170 has occurred;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(c)</w:t>
      </w:r>
      <w:r w:rsidRPr="00E03859">
        <w:tab/>
        <w:t xml:space="preserve">recommend expulsion of the member;  and/or,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(d)</w:t>
      </w:r>
      <w:r w:rsidRPr="00E03859">
        <w:tab/>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(4)</w:t>
      </w:r>
      <w:r w:rsidRPr="00E03859">
        <w:tab/>
        <w:t xml:space="preserve">An individual has ten days from the date of the notification of the ethics committee’s action to appeal the action to the full legislative body.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(5)</w:t>
      </w:r>
      <w:r w:rsidRPr="00E03859">
        <w:tab/>
        <w:t xml:space="preserve">No ethics committee member may participate in any matter in which he is involved.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(6)</w:t>
      </w:r>
      <w:r w:rsidRPr="00E03859">
        <w:tab/>
        <w:t>The ethics committee shall establish procedures which afford respondents appropriate due process protections, including the right to be represented by counsel, the right to call and examine witnesses, the right to introduce exhibits, and the right to cross</w:t>
      </w:r>
      <w:r w:rsidRPr="00E03859">
        <w:noBreakHyphen/>
        <w:t xml:space="preserve">examine opposing witnesses.”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SECTION</w:t>
      </w:r>
      <w:r w:rsidRPr="00E03859">
        <w:tab/>
        <w:t>3.</w:t>
      </w:r>
      <w:r w:rsidRPr="00E03859">
        <w:tab/>
        <w:t>Section 8-13-1372 of the 1976 Code is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rPr>
          <w:color w:val="000000"/>
        </w:rPr>
        <w:t>“</w:t>
      </w:r>
      <w:r w:rsidR="002D57F9">
        <w:rPr>
          <w:color w:val="000000"/>
        </w:rPr>
        <w:t xml:space="preserve">Section 8-13-1372 </w:t>
      </w:r>
      <w:r w:rsidRPr="00E03859">
        <w:rPr>
          <w:color w:val="000000"/>
        </w:rPr>
        <w:t>(A)</w:t>
      </w:r>
      <w:r w:rsidRPr="00E03859">
        <w:rPr>
          <w:color w:val="000000"/>
        </w:rPr>
        <w:tab/>
        <w:t xml:space="preserve">The </w:t>
      </w:r>
      <w:r w:rsidRPr="00E03859">
        <w:rPr>
          <w:strike/>
          <w:color w:val="000000"/>
        </w:rPr>
        <w:t>State Ethics Commission</w:t>
      </w:r>
      <w:r w:rsidRPr="00E03859">
        <w:rPr>
          <w:color w:val="000000"/>
        </w:rPr>
        <w:t xml:space="preserve"> </w:t>
      </w:r>
      <w:r w:rsidRPr="00E03859">
        <w:rPr>
          <w:color w:val="000000"/>
          <w:u w:val="single"/>
        </w:rPr>
        <w:t>appropriate supervisory office</w:t>
      </w:r>
      <w:r w:rsidRPr="00E03859">
        <w:rPr>
          <w:color w:val="000000"/>
        </w:rPr>
        <w:t xml:space="preserv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Technical violations must remain confidential unless requested to be made public by the candidate filing the report. In lieu of all other penalties, the </w:t>
      </w:r>
      <w:r w:rsidRPr="00E03859">
        <w:rPr>
          <w:strike/>
          <w:color w:val="000000"/>
        </w:rPr>
        <w:t>State Ethics Commission</w:t>
      </w:r>
      <w:r w:rsidRPr="00E03859">
        <w:rPr>
          <w:color w:val="000000"/>
        </w:rPr>
        <w:t xml:space="preserve"> </w:t>
      </w:r>
      <w:r w:rsidRPr="00E03859">
        <w:rPr>
          <w:color w:val="000000"/>
          <w:u w:val="single"/>
        </w:rPr>
        <w:t>appropriate supervisory office</w:t>
      </w:r>
      <w:r w:rsidRPr="00E03859">
        <w:rPr>
          <w:color w:val="000000"/>
        </w:rPr>
        <w:t xml:space="preserve"> may assess a technical violations penalty not to exceed fifty dollars. </w:t>
      </w:r>
    </w:p>
    <w:p w:rsidR="00A61CEF" w:rsidRDefault="006076AC" w:rsidP="00A61C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r w:rsidRPr="00E03859">
        <w:rPr>
          <w:color w:val="000000"/>
          <w:sz w:val="22"/>
          <w:szCs w:val="22"/>
        </w:rPr>
        <w:lastRenderedPageBreak/>
        <w:tab/>
        <w:t>(B)</w:t>
      </w:r>
      <w:r w:rsidRPr="00E03859">
        <w:rPr>
          <w:color w:val="000000"/>
          <w:sz w:val="22"/>
          <w:szCs w:val="22"/>
        </w:rPr>
        <w:tab/>
        <w:t xml:space="preserve">A violation other than an inadvertent or unintentional violation must be </w:t>
      </w:r>
      <w:r w:rsidRPr="00E03859">
        <w:rPr>
          <w:strike/>
          <w:color w:val="000000"/>
          <w:sz w:val="22"/>
          <w:szCs w:val="22"/>
        </w:rPr>
        <w:t>referred to</w:t>
      </w:r>
      <w:r w:rsidRPr="00E03859">
        <w:rPr>
          <w:color w:val="000000"/>
          <w:sz w:val="22"/>
          <w:szCs w:val="22"/>
        </w:rPr>
        <w:t xml:space="preserve"> </w:t>
      </w:r>
      <w:r w:rsidRPr="00E03859">
        <w:rPr>
          <w:color w:val="000000"/>
          <w:sz w:val="22"/>
          <w:szCs w:val="22"/>
          <w:u w:val="single"/>
        </w:rPr>
        <w:t>considered by</w:t>
      </w:r>
      <w:r w:rsidRPr="00E03859">
        <w:rPr>
          <w:color w:val="000000"/>
          <w:sz w:val="22"/>
          <w:szCs w:val="22"/>
        </w:rPr>
        <w:t xml:space="preserve"> the appropriate supervisory office for appropriate action.” </w:t>
      </w:r>
    </w:p>
    <w:p w:rsidR="00A61CEF" w:rsidRDefault="00A61CEF" w:rsidP="00A61C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p>
    <w:p w:rsidR="00A61CEF" w:rsidRDefault="006076AC" w:rsidP="00A61C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2"/>
        </w:rPr>
      </w:pPr>
      <w:r w:rsidRPr="00E03859">
        <w:rPr>
          <w:color w:val="000000"/>
          <w:szCs w:val="22"/>
        </w:rPr>
        <w:t>SECTION</w:t>
      </w:r>
      <w:r w:rsidRPr="00E03859">
        <w:rPr>
          <w:color w:val="000000"/>
          <w:szCs w:val="22"/>
        </w:rPr>
        <w:tab/>
        <w:t>4.</w:t>
      </w:r>
      <w:r w:rsidRPr="00E03859">
        <w:rPr>
          <w:color w:val="000000"/>
          <w:szCs w:val="22"/>
        </w:rPr>
        <w:tab/>
        <w:t>This act takes effect upon approval by the Governor.</w:t>
      </w:r>
    </w:p>
    <w:p w:rsidR="00AF370E" w:rsidRDefault="00EC5A70" w:rsidP="00AD1D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pPr>
      <w:r>
        <w:noBreakHyphen/>
      </w:r>
      <w:r>
        <w:noBreakHyphen/>
      </w:r>
      <w:r>
        <w:noBreakHyphen/>
      </w:r>
      <w:r>
        <w:noBreakHyphen/>
      </w:r>
      <w:r w:rsidR="0010776B">
        <w:t>XX</w:t>
      </w:r>
      <w:r>
        <w:noBreakHyphen/>
      </w:r>
      <w:r>
        <w:noBreakHyphen/>
      </w:r>
      <w:r>
        <w:noBreakHyphen/>
      </w:r>
      <w:r>
        <w:noBreakHyphen/>
      </w:r>
    </w:p>
    <w:sectPr w:rsidR="00AF370E" w:rsidSect="004622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EBE" w:rsidRDefault="003B2EBE" w:rsidP="009F0C77">
      <w:r>
        <w:separator/>
      </w:r>
    </w:p>
  </w:endnote>
  <w:endnote w:type="continuationSeparator" w:id="0">
    <w:p w:rsidR="003B2EBE" w:rsidRDefault="003B2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5F92C9-5B54-455B-82AA-7D641A8A41B6}"/>
    <w:embedBold r:id="rId2" w:fontKey="{D9B57ED4-CD8A-41B2-8793-E033F5DA7CD6}"/>
  </w:font>
  <w:font w:name="Calibri">
    <w:panose1 w:val="020F0502020204030204"/>
    <w:charset w:val="00"/>
    <w:family w:val="swiss"/>
    <w:pitch w:val="variable"/>
    <w:sig w:usb0="A00002EF" w:usb1="4000207B" w:usb2="00000000" w:usb3="00000000" w:csb0="0000009F" w:csb1="00000000"/>
    <w:embedRegular r:id="rId3" w:fontKey="{B3E62FD9-888D-40CF-A569-B9422240461E}"/>
  </w:font>
  <w:font w:name="Cambria">
    <w:panose1 w:val="02040503050406030204"/>
    <w:charset w:val="00"/>
    <w:family w:val="roman"/>
    <w:pitch w:val="variable"/>
    <w:sig w:usb0="A00002EF" w:usb1="4000004B" w:usb2="00000000" w:usb3="00000000" w:csb0="0000009F" w:csb1="00000000"/>
    <w:embedRegular r:id="rId4" w:fontKey="{09DA10B2-1EE3-4323-A35D-7D96A62D4D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4E" w:rsidRPr="00AF370E" w:rsidRDefault="00AF370E" w:rsidP="00AF370E">
    <w:pPr>
      <w:pStyle w:val="Footer"/>
      <w:tabs>
        <w:tab w:val="clear" w:pos="4680"/>
        <w:tab w:val="clear" w:pos="9360"/>
        <w:tab w:val="center" w:pos="2995"/>
      </w:tabs>
      <w:spacing w:before="120"/>
    </w:pPr>
    <w:r>
      <w:t>[4542</w:t>
    </w:r>
    <w:r w:rsidR="00462287">
      <w:t>-</w:t>
    </w:r>
    <w:fldSimple w:instr=" PAGE  \* MERGEFORMAT ">
      <w:r w:rsidR="00AD1DAA">
        <w:rPr>
          <w:noProof/>
        </w:rPr>
        <w:t>1</w:t>
      </w:r>
    </w:fldSimple>
    <w:r w:rsidR="004622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287" w:rsidRPr="00AF370E" w:rsidRDefault="00462287" w:rsidP="00AF370E">
    <w:pPr>
      <w:pStyle w:val="Footer"/>
      <w:tabs>
        <w:tab w:val="clear" w:pos="4680"/>
        <w:tab w:val="clear" w:pos="9360"/>
        <w:tab w:val="center" w:pos="2995"/>
      </w:tabs>
      <w:spacing w:before="120"/>
    </w:pPr>
    <w:r>
      <w:t>[4542]</w:t>
    </w:r>
    <w:r>
      <w:tab/>
    </w:r>
    <w:fldSimple w:instr=" PAGE  \* MERGEFORMAT ">
      <w:r w:rsidR="00AD1D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EBE" w:rsidRDefault="003B2EBE" w:rsidP="009F0C77">
      <w:r>
        <w:separator/>
      </w:r>
    </w:p>
  </w:footnote>
  <w:footnote w:type="continuationSeparator" w:id="0">
    <w:p w:rsidR="003B2EBE" w:rsidRDefault="003B2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9DW10"/>
    <w:docVar w:name="CoverBillType" w:val="b"/>
    <w:docVar w:name="docpath" w:val="L:\Council\bills\DKA\3899DW10.DOCX"/>
    <w:docVar w:name="dvBillNumber" w:val="4542"/>
    <w:docVar w:name="dvBillNumberPrefix" w:val="H. "/>
    <w:docVar w:name="dvOriginalBody" w:val="House"/>
    <w:docVar w:name="dvSteno" w:val="DKA"/>
    <w:docVar w:name="NameofBody" w:val="h"/>
    <w:docVar w:name="vgroup2" w:val="Council"/>
  </w:docVars>
  <w:rsids>
    <w:rsidRoot w:val="003F217A"/>
    <w:rsid w:val="00011869"/>
    <w:rsid w:val="000E1785"/>
    <w:rsid w:val="000F40FA"/>
    <w:rsid w:val="0010776B"/>
    <w:rsid w:val="00133E66"/>
    <w:rsid w:val="001435A3"/>
    <w:rsid w:val="001D08F2"/>
    <w:rsid w:val="001D525B"/>
    <w:rsid w:val="001D7F4F"/>
    <w:rsid w:val="002321B6"/>
    <w:rsid w:val="00250967"/>
    <w:rsid w:val="002543C8"/>
    <w:rsid w:val="00284AAE"/>
    <w:rsid w:val="002D57F9"/>
    <w:rsid w:val="002E5912"/>
    <w:rsid w:val="00325348"/>
    <w:rsid w:val="0032732C"/>
    <w:rsid w:val="00336AD0"/>
    <w:rsid w:val="003648E8"/>
    <w:rsid w:val="0037079A"/>
    <w:rsid w:val="003B2EBE"/>
    <w:rsid w:val="003D01E8"/>
    <w:rsid w:val="003E5288"/>
    <w:rsid w:val="003F217A"/>
    <w:rsid w:val="003F6D79"/>
    <w:rsid w:val="00413BD2"/>
    <w:rsid w:val="0041760A"/>
    <w:rsid w:val="00417C01"/>
    <w:rsid w:val="0042108E"/>
    <w:rsid w:val="00462287"/>
    <w:rsid w:val="00476C8E"/>
    <w:rsid w:val="004809EE"/>
    <w:rsid w:val="00494B83"/>
    <w:rsid w:val="004B687C"/>
    <w:rsid w:val="004E7D54"/>
    <w:rsid w:val="005273C6"/>
    <w:rsid w:val="00530A69"/>
    <w:rsid w:val="00545593"/>
    <w:rsid w:val="00577C6C"/>
    <w:rsid w:val="005C2FE2"/>
    <w:rsid w:val="005E2BC9"/>
    <w:rsid w:val="00605102"/>
    <w:rsid w:val="006076AC"/>
    <w:rsid w:val="006215AA"/>
    <w:rsid w:val="00663B2D"/>
    <w:rsid w:val="006913C9"/>
    <w:rsid w:val="0069470D"/>
    <w:rsid w:val="006E4258"/>
    <w:rsid w:val="00705792"/>
    <w:rsid w:val="00734F00"/>
    <w:rsid w:val="007A70AE"/>
    <w:rsid w:val="008362E8"/>
    <w:rsid w:val="008A1768"/>
    <w:rsid w:val="008F4429"/>
    <w:rsid w:val="0094021A"/>
    <w:rsid w:val="00951056"/>
    <w:rsid w:val="00963CA1"/>
    <w:rsid w:val="009C6A0B"/>
    <w:rsid w:val="009D5314"/>
    <w:rsid w:val="009F0C77"/>
    <w:rsid w:val="009F4DD1"/>
    <w:rsid w:val="00A41684"/>
    <w:rsid w:val="00A61CEF"/>
    <w:rsid w:val="00A64E80"/>
    <w:rsid w:val="00A72BCD"/>
    <w:rsid w:val="00A741D9"/>
    <w:rsid w:val="00A833AB"/>
    <w:rsid w:val="00A9741D"/>
    <w:rsid w:val="00AD1DAA"/>
    <w:rsid w:val="00AD4B17"/>
    <w:rsid w:val="00AE2C07"/>
    <w:rsid w:val="00AF370E"/>
    <w:rsid w:val="00B21F4E"/>
    <w:rsid w:val="00B412D4"/>
    <w:rsid w:val="00B9671D"/>
    <w:rsid w:val="00BE3C22"/>
    <w:rsid w:val="00C0269D"/>
    <w:rsid w:val="00C0345E"/>
    <w:rsid w:val="00C3483A"/>
    <w:rsid w:val="00C74E9D"/>
    <w:rsid w:val="00C76476"/>
    <w:rsid w:val="00C82FD3"/>
    <w:rsid w:val="00C92819"/>
    <w:rsid w:val="00CC6B7B"/>
    <w:rsid w:val="00CD2089"/>
    <w:rsid w:val="00CF25C4"/>
    <w:rsid w:val="00D137C9"/>
    <w:rsid w:val="00D25319"/>
    <w:rsid w:val="00D73A67"/>
    <w:rsid w:val="00D970A9"/>
    <w:rsid w:val="00DE2001"/>
    <w:rsid w:val="00DF3845"/>
    <w:rsid w:val="00E41911"/>
    <w:rsid w:val="00E83C63"/>
    <w:rsid w:val="00E92EEF"/>
    <w:rsid w:val="00EC5A70"/>
    <w:rsid w:val="00F24442"/>
    <w:rsid w:val="00F50AE3"/>
    <w:rsid w:val="00F67CF1"/>
    <w:rsid w:val="00F7394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21F4E"/>
    <w:rPr>
      <w:color w:val="800080" w:themeColor="followedHyperlink"/>
      <w:u w:val="single"/>
    </w:rPr>
  </w:style>
  <w:style w:type="paragraph" w:styleId="NormalWeb">
    <w:name w:val="Normal (Web)"/>
    <w:basedOn w:val="Normal"/>
    <w:uiPriority w:val="99"/>
    <w:unhideWhenUsed/>
    <w:rsid w:val="006076AC"/>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30D52-C3DC-46D8-A5B2-5307782E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2010-05-06T20:47:00Z</cp:lastPrinted>
  <dcterms:created xsi:type="dcterms:W3CDTF">2010-05-12T22:54:00Z</dcterms:created>
  <dcterms:modified xsi:type="dcterms:W3CDTF">2010-05-12T22:54:00Z</dcterms:modified>
</cp:coreProperties>
</file>