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THE CODE OF LAWS OF SOUTH CAROLINA, 1976, BY ADDING CHAPTER 60 TO TITLE 38 SO AS TO ENACT THE “SOUTH CAROLINA HEALTHNET PROGRAM”; TO PROVIDE FOR THE CREATION OF A FIVE</w:t>
      </w:r>
      <w:r>
        <w:rPr>
          <w:szCs w:val="22"/>
        </w:rPr>
        <w:noBreakHyphen/>
        <w:t xml:space="preserve">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w:t>
      </w:r>
      <w:r>
        <w:rPr>
          <w:szCs w:val="22"/>
        </w:rPr>
        <w:lastRenderedPageBreak/>
        <w:t>IMPLEMENTATION OF THE PROGRAM; AND TO AUTHORIZE THE DIRECTOR OF THE STATE DEPARTMENT OF INSURANCE TO PROMULGATE REGULATIONS TO IMPLEMENT THE PROVISIONS OF CHAPTER 60, TITLE 38 ADDED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 xml:space="preserve">promote the availability of health insurance coverage to employees of small employers, health group cooperatives and sole proprietors;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(2)</w:t>
      </w:r>
      <w:r>
        <w:rPr>
          <w:szCs w:val="22"/>
        </w:rPr>
        <w:tab/>
        <w:t>‘Board’ means the board of directors of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(3)</w:t>
      </w:r>
      <w:r>
        <w:rPr>
          <w:szCs w:val="22"/>
        </w:rPr>
        <w:tab/>
        <w:t>‘Dependent’ is as defined in Section 38</w:t>
      </w:r>
      <w:r>
        <w:rPr>
          <w:szCs w:val="22"/>
        </w:rPr>
        <w:noBreakHyphen/>
        <w:t>71</w:t>
      </w:r>
      <w:r>
        <w:rPr>
          <w:szCs w:val="22"/>
        </w:rPr>
        <w:noBreakHyphen/>
        <w:t xml:space="preserve">1330(5).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(4)</w:t>
      </w:r>
      <w:r>
        <w:rPr>
          <w:szCs w:val="22"/>
        </w:rPr>
        <w:tab/>
        <w:t>‘Director or his designee’ is as defined in Section 38</w:t>
      </w:r>
      <w:r>
        <w:rPr>
          <w:szCs w:val="22"/>
        </w:rPr>
        <w:noBreakHyphen/>
        <w:t>1</w:t>
      </w:r>
      <w:r>
        <w:rPr>
          <w:szCs w:val="22"/>
        </w:rPr>
        <w:noBreakHyphen/>
        <w:t>20(15) and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(5)</w:t>
      </w:r>
      <w:r>
        <w:rPr>
          <w:szCs w:val="22"/>
        </w:rPr>
        <w:tab/>
        <w:t>‘Eligible employee’ is as defined in Section 38</w:t>
      </w:r>
      <w:r>
        <w:rPr>
          <w:szCs w:val="22"/>
        </w:rPr>
        <w:noBreakHyphen/>
        <w:t>71</w:t>
      </w:r>
      <w:r>
        <w:rPr>
          <w:szCs w:val="22"/>
        </w:rPr>
        <w:noBreakHyphen/>
        <w:t xml:space="preserve">1330(6).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(6)</w:t>
      </w:r>
      <w:r>
        <w:rPr>
          <w:szCs w:val="22"/>
        </w:rPr>
        <w:tab/>
        <w:t xml:space="preserve">‘Health group cooperative’ means a private purchasing cooperative composed of small employers formed pursuant to Article 13, Chapter 71, Title 38.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(7)</w:t>
      </w:r>
      <w:r>
        <w:rPr>
          <w:szCs w:val="22"/>
        </w:rPr>
        <w:tab/>
        <w:t>‘Health insurance coverage’ is as defined in Section 38</w:t>
      </w:r>
      <w:r>
        <w:rPr>
          <w:szCs w:val="22"/>
        </w:rPr>
        <w:noBreakHyphen/>
        <w:t>71</w:t>
      </w:r>
      <w:r>
        <w:rPr>
          <w:szCs w:val="22"/>
        </w:rPr>
        <w:noBreakHyphen/>
        <w:t xml:space="preserve">840(14), but for purposes of this chapter excludes coverage </w:t>
      </w:r>
      <w:r>
        <w:rPr>
          <w:szCs w:val="22"/>
        </w:rPr>
        <w:lastRenderedPageBreak/>
        <w:t>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(9)</w:t>
      </w:r>
      <w:r>
        <w:rPr>
          <w:szCs w:val="22"/>
        </w:rPr>
        <w:tab/>
        <w:t xml:space="preserve">‘Plan of operation’ means the plan of operation for the program established pursuant to this chapter and includes the initial South Carolina HealthNet plan approved by the director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fifteen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 xml:space="preserve">two representatives from the hospital community from a list of nominees submitted by the South Carolina Hospital </w:t>
      </w:r>
      <w:r>
        <w:rPr>
          <w:szCs w:val="22"/>
        </w:rPr>
        <w:lastRenderedPageBreak/>
        <w:t>Association. One must be appointed for a two</w:t>
      </w:r>
      <w:r>
        <w:rPr>
          <w:szCs w:val="22"/>
        </w:rPr>
        <w:noBreakHyphen/>
        <w:t>year term and the other for a three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consumer representatives are appointed to a two</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establish procedures for filling vacancies on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develop and implement a public awareness program to promote the existence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r>
      <w:r>
        <w:rPr>
          <w:rFonts w:eastAsia="MS Mincho"/>
          <w:szCs w:val="22"/>
        </w:rPr>
        <w:tab/>
        <w:t>(4)</w:t>
      </w:r>
      <w:r>
        <w:rPr>
          <w:rFonts w:eastAsia="MS Mincho"/>
          <w:szCs w:val="22"/>
        </w:rPr>
        <w:tab/>
        <w:t>establish procedures for the board review of South Carolina HealthNet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 and plan design of South Carolina HealthNet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(8)</w:t>
      </w:r>
      <w:r>
        <w:rPr>
          <w:rFonts w:eastAsia="MS Mincho"/>
          <w:szCs w:val="22"/>
        </w:rPr>
        <w:tab/>
        <w:t xml:space="preserve">cause to be audited on an independent basis each year the finances of the program and submit the report of audit to the department by July first.  The department shall forward the report of audit to the chairman of the Senate Finance Committee and the </w:t>
      </w:r>
      <w:r>
        <w:rPr>
          <w:rFonts w:eastAsia="MS Mincho"/>
          <w:szCs w:val="22"/>
        </w:rPr>
        <w:lastRenderedPageBreak/>
        <w:t>chairman of the House Ways and Means Committee within fifteen days of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For purposes of this section, the independent actuary must be credentialed by the MAAA and have a minimum of five years’ experience setting health insurance rates and meet the requirements provided for in Section 38</w:t>
      </w:r>
      <w:r>
        <w:rPr>
          <w:szCs w:val="22"/>
        </w:rPr>
        <w:noBreakHyphen/>
        <w:t>60</w:t>
      </w:r>
      <w:r>
        <w:rPr>
          <w:szCs w:val="22"/>
        </w:rPr>
        <w:noBreakHyphen/>
        <w:t>60(E).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lastRenderedPageBreak/>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(I)</w:t>
      </w:r>
      <w:r>
        <w:rPr>
          <w:rFonts w:eastAsia="MS Mincho"/>
          <w:szCs w:val="22"/>
        </w:rPr>
        <w:tab/>
        <w:t>A South Carolina HealthNet plan authorized under this chapter may not be offered for sale in this State until it has been reviewed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lastRenderedPageBreak/>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must be given on forms prescribed or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extends to all services furnished to the South Carolina HealthNet plan participant during the time he was covered under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r>
        <w:rPr>
          <w:szCs w:val="22"/>
        </w:rPr>
        <w:tab/>
        <w:t>(3)</w:t>
      </w:r>
      <w:r>
        <w:rPr>
          <w:szCs w:val="22"/>
        </w:rPr>
        <w:tab/>
        <w:t>applies even where the provider or employing entity had not been paid by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The eligible employees of a small employer and of a sole proprietor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 The board shall include in the third annual report compiled and submitted pursuant to subsection (B) a report on the effectiveness of the program, including any recommendations relating to the successful implementation and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szCs w:val="22"/>
        </w:rPr>
        <w:t>Section 38</w:t>
      </w:r>
      <w:r>
        <w:rPr>
          <w:szCs w:val="22"/>
        </w:rPr>
        <w:noBreakHyphen/>
        <w:t>60</w:t>
      </w:r>
      <w:r>
        <w:rPr>
          <w:szCs w:val="22"/>
        </w:rPr>
        <w:noBreakHyphen/>
        <w:t>150.</w:t>
      </w:r>
      <w:r>
        <w:rPr>
          <w:szCs w:val="22"/>
        </w:rPr>
        <w:tab/>
      </w:r>
      <w:r>
        <w:rPr>
          <w:szCs w:val="22"/>
        </w:rPr>
        <w:tab/>
        <w:t>Before termination of the program, participating insurers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 xml:space="preserve">offer to continue the South Carolina HealthNet plan coverage for a maximum of one additional year to allow the participant the opportunity to find alternative coverage;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offer to replace the South Carolina  HealthNet plan with a policy underwritten by the insurer that provides coverage similar to or greater than the South Carolina HealthNet plan at applicable rates offered by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Cs w:val="22"/>
        </w:rPr>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BC6EB0-D44A-4795-A19D-C93F3C6C8C03}"/>
    <w:embedBold r:id="rId2" w:fontKey="{B835E85C-0DB4-4A2F-9F5D-94C1E5729A53}"/>
  </w:font>
  <w:font w:name="Calibri">
    <w:panose1 w:val="020F0502020204030204"/>
    <w:charset w:val="00"/>
    <w:family w:val="swiss"/>
    <w:pitch w:val="variable"/>
    <w:sig w:usb0="A00002EF" w:usb1="4000207B" w:usb2="00000000" w:usb3="00000000" w:csb0="0000009F" w:csb1="00000000"/>
    <w:embedRegular r:id="rId3" w:fontKey="{1967287B-1031-409D-A9F2-F39C6C6A42B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FA63B04-F743-4B88-ABD8-28B1E49AF3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[455]</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6DW09"/>
    <w:docVar w:name="CoverBillType" w:val="b"/>
    <w:docVar w:name="docpath" w:val="L:\Council\bills\DKA\3186DW09.DOCX"/>
    <w:docVar w:name="dvBillNumber" w:val="455"/>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3383</Words>
  <Characters>19287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2009-02-18T16:14:00Z</cp:lastPrinted>
  <dcterms:created xsi:type="dcterms:W3CDTF">2009-02-19T16:43:00Z</dcterms:created>
  <dcterms:modified xsi:type="dcterms:W3CDTF">2009-02-19T16:43:00Z</dcterms:modified>
</cp:coreProperties>
</file>