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SENATE UPON THE PASSING OF REVEREND WILLIE J. NELSON, OF RICHLAND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Reverend Willie J. Nelson, of Richland County, on February 13,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Clarendon County on May 18, 1927, Willie J. Nelson was the son of Leon and Fannie Gary Nelson. After his mother’s death, he and his six brothers and sisters were reared by his father and stepmother, Mrs. Clotelle Nelson. After completing his early education in the public schools of Clarendon County, he entered Columbia’s Allen University and earned his bachelor of arts in elementary education, followed by a bachelor of divinity degree from Dickerson Theological Seminary;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servant of God and of his country, Willie J. Nelson served two years in the United States Armed Forces. Assigned to Germany during the Korean conflict, he completed his military assignment honorably, having earned the rank of sergeant;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lifelong member of the African Methodist Episcopal Church, young Willie grew up in Laurel Hill AME Church. He accepted the call to ministry and was licensed an itinerant deacon in 1953 and itinerant elder in 1955. Early pastoral appointments took him to churches in Greenville, Florence, and Manning, after which he pastored St. John AME Church in Bishopville for seventeen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after St. John AME Church, Reverend Nelson was appointed to Chappelle Memorial AME Church in Columbia, where he served for twenty</w:t>
      </w:r>
      <w:r>
        <w:noBreakHyphen/>
        <w:t>two years. Under the Lord’s blessing, he and his congregation completed major structural renovations to the church and several other important projects. Among his many achievements there, he counts as one of the most prized the establishment and organization of the annual Martin Luther King, Jr., Day Celebration, a program that has continued each year since its inception. Reverend Nelson also helped to promote many African Americans running for various political offices;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following a three</w:t>
      </w:r>
      <w:r>
        <w:noBreakHyphen/>
        <w:t>year appointment at Friendship AME Church in Columbia, Reverend Nelson was appointed to the position of presiding elder of the Columbia District of the Columbia Annual Conference of the 7</w:t>
      </w:r>
      <w:r>
        <w:rPr>
          <w:vertAlign w:val="superscript"/>
        </w:rPr>
        <w:t>th</w:t>
      </w:r>
      <w:r>
        <w:t xml:space="preserve"> Episcopal District of the AME Church, an office he held for six years, during which he was instrumental in establishing a new AME church in the Columbia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duties as a pastor, he worked for more than twenty years for the Sperry and Hutchinson Company, also retiring from the State of South Carolina Department of Youth Services after more than ten years of service to the Group Home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more than fifty years of ministry and community service, Reverend Nelson was a member of numerous organizations, held countless positions of leadership, and received accolades and awards that reflected appreciation for his labors. He was a member of the board of trustees of Allen University and of the original committee responsible for establishing the Harvest Hope Food Bank. A life member of the NAACP, he received the organization’s Faith Leadership Award in 2004. In 2003, he was presented with the Key to the City of Columbia;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retirement, he joined Bethel AME Church in Columbia, where he remained active in his service to the Lord as a church member;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former Carrie Richburg in 1953, he shared with her fifty</w:t>
      </w:r>
      <w:r>
        <w:noBreakHyphen/>
        <w:t>six years of happiness and contentment, the Lord blessing their union with two 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his beloved wife, he leaves daughters Yvonne Means and Helen Grant, ten grandchildren, three great</w:t>
      </w:r>
      <w:r>
        <w:noBreakHyphen/>
        <w:t>grandchildren, and a host of other relatives and friends. His memory will be cherished by all who knew him, and he will be greatly missed.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express their profound sorrow upon the passing of Reverend Willie J. Nelson, of Richland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Carrie Nelson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5155B6-44FD-4EE3-9B03-CECF0324B1DC}"/>
    <w:embedBold r:id="rId2" w:fontKey="{210869AB-76FF-4901-A2C1-4B868163D909}"/>
  </w:font>
  <w:font w:name="Calibri">
    <w:panose1 w:val="020F0502020204030204"/>
    <w:charset w:val="00"/>
    <w:family w:val="swiss"/>
    <w:pitch w:val="variable"/>
    <w:sig w:usb0="A00002EF" w:usb1="4000207B" w:usb2="00000000" w:usb3="00000000" w:csb0="0000009F" w:csb1="00000000"/>
    <w:embedRegular r:id="rId3" w:fontKey="{8A711031-DC79-46C4-97C6-51EF9D77E0BB}"/>
  </w:font>
  <w:font w:name="Tahoma">
    <w:panose1 w:val="020B0604030504040204"/>
    <w:charset w:val="00"/>
    <w:family w:val="swiss"/>
    <w:pitch w:val="variable"/>
    <w:sig w:usb0="61002A87" w:usb1="80000000" w:usb2="00000008" w:usb3="00000000" w:csb0="000101FF" w:csb1="00000000"/>
    <w:embedRegular r:id="rId4" w:fontKey="{2DE8E489-E90A-4399-A776-F43C1AE3D116}"/>
  </w:font>
  <w:font w:name="Cambria">
    <w:panose1 w:val="02040503050406030204"/>
    <w:charset w:val="00"/>
    <w:family w:val="roman"/>
    <w:pitch w:val="variable"/>
    <w:sig w:usb0="A00002EF" w:usb1="4000004B" w:usb2="00000000" w:usb3="00000000" w:csb0="0000009F" w:csb1="00000000"/>
    <w:embedRegular r:id="rId5" w:fontKey="{92433161-1B74-4FAC-87C7-E29EC8EF3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[458]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3CM09"/>
    <w:docVar w:name="CoverBillType" w:val="r"/>
    <w:docVar w:name="docpath" w:val="L:\Council\bills\RM\1113CM09.DOCX"/>
    <w:docVar w:name="dvBillNumber" w:val="45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3707</Characters>
  <Application>Microsoft Office Word</Application>
  <DocSecurity>0</DocSecurity>
  <Lines>30</Lines>
  <Paragraphs>8</Paragraphs>
  <ScaleCrop>false</ScaleCrop>
  <Company> </Company>
  <LinksUpToDate>false</LinksUpToDate>
  <CharactersWithSpaces>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2009-02-19T15:20:00Z</cp:lastPrinted>
  <dcterms:created xsi:type="dcterms:W3CDTF">2009-02-19T16:44:00Z</dcterms:created>
  <dcterms:modified xsi:type="dcterms:W3CDTF">2009-02-19T16:44:00Z</dcterms:modified>
</cp:coreProperties>
</file>