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C2F" w:rsidRDefault="00FD1C2F" w:rsidP="00FD1C2F">
      <w:pPr>
        <w:pStyle w:val="BillDots"/>
      </w:pPr>
    </w:p>
    <w:p w:rsidR="00FD1C2F" w:rsidRDefault="00FD1C2F" w:rsidP="00FD1C2F">
      <w:pPr>
        <w:pStyle w:val="Numbersforbill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C2F" w:rsidRDefault="00FD1C2F" w:rsidP="00FD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19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F4075">
        <w:t>TO AMEND SECTION 59</w:t>
      </w:r>
      <w:r>
        <w:t>-</w:t>
      </w:r>
      <w:r w:rsidRPr="008F4075">
        <w:t>20</w:t>
      </w:r>
      <w:r>
        <w:t>-</w:t>
      </w:r>
      <w:r w:rsidRPr="008F4075">
        <w:t>20, CODE OF LAWS OF SOUTH CAROLINA, 1976, RELATING TO DEF</w:t>
      </w:r>
      <w:r>
        <w:t>I</w:t>
      </w:r>
      <w:r w:rsidRPr="008F4075">
        <w:t>NITIONS OF THE EDUCATION FINANCE ACT, SO AS TO REVISE THE DEFIN</w:t>
      </w:r>
      <w:r>
        <w:t>I</w:t>
      </w:r>
      <w:r w:rsidRPr="008F4075">
        <w:t>TION OF “INDEX OF TAXPAYING ABILITY” TO PROVIDE THAT THE INDEX FOR EACH SCHOOL DISTR</w:t>
      </w:r>
      <w:r>
        <w:t>I</w:t>
      </w:r>
      <w:r w:rsidRPr="008F4075">
        <w:t>CT IS BASED ON THE WAGES OF THE COUNTY IN WHICH THE DISTRICT IS LOCATED.</w:t>
      </w: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4B47">
        <w:t>Section 59</w:t>
      </w:r>
      <w:r w:rsidR="004F3149">
        <w:t>-</w:t>
      </w:r>
      <w:r w:rsidR="005F4B47">
        <w:t>20</w:t>
      </w:r>
      <w:r w:rsidR="004F3149">
        <w:t>-</w:t>
      </w:r>
      <w:r w:rsidR="005F4B47">
        <w:t>20(3) of the 1976 Code is amended to read:</w:t>
      </w:r>
    </w:p>
    <w:p w:rsidR="005F4B47" w:rsidRDefault="005F4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47" w:rsidRP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“(3)</w:t>
      </w:r>
      <w:r>
        <w:tab/>
      </w:r>
      <w:r w:rsidRPr="005F4B47">
        <w:t>‘</w:t>
      </w:r>
      <w:r w:rsidRPr="0062223B">
        <w:t>Index of taxpaying ability</w:t>
      </w:r>
      <w:r w:rsidRPr="005F4B47">
        <w:t>’</w:t>
      </w:r>
      <w:r w:rsidRPr="0062223B">
        <w:t xml:space="preserve"> means an index of a local district</w:t>
      </w:r>
      <w:r w:rsidRPr="005F4B47">
        <w:t>’</w:t>
      </w:r>
      <w:r w:rsidRPr="0062223B">
        <w:t>s relative fiscal capacity in relation to that of all other districts of the State</w:t>
      </w:r>
      <w:r>
        <w:rPr>
          <w:u w:val="single"/>
        </w:rPr>
        <w:t>.  The index must be used to calculate each district</w:t>
      </w:r>
      <w:r w:rsidR="0088430C">
        <w:rPr>
          <w:u w:val="single"/>
        </w:rPr>
        <w:t>’</w:t>
      </w:r>
      <w:r>
        <w:rPr>
          <w:u w:val="single"/>
        </w:rPr>
        <w:t>s share of the revenue to be raised locally for the foundation program.  The index is</w:t>
      </w:r>
      <w:r w:rsidRPr="0062223B">
        <w:t xml:space="preserve"> based on the </w:t>
      </w:r>
      <w:r w:rsidRPr="005F4B47">
        <w:rPr>
          <w:strike/>
        </w:rPr>
        <w:t>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strike/>
        </w:rPr>
        <w:noBreakHyphen/>
      </w:r>
      <w:r w:rsidRPr="005F4B47">
        <w:rPr>
          <w:strike/>
        </w:rPr>
        <w:t xml:space="preserve">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w:t>
      </w:r>
      <w:r w:rsidRPr="005F4B47">
        <w:rPr>
          <w:strike/>
        </w:rPr>
        <w:lastRenderedPageBreak/>
        <w:t>foundation program.  The index must include an imputed value for the property tax base implicitly generating impact aid revenue.  The property tax base must be imputed at two</w:t>
      </w:r>
      <w:r>
        <w:rPr>
          <w:strike/>
        </w:rPr>
        <w:noBreakHyphen/>
      </w:r>
      <w:r w:rsidRPr="005F4B47">
        <w:rPr>
          <w:strike/>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strike/>
        </w:rPr>
        <w:noBreakHyphen/>
      </w:r>
      <w:r w:rsidRPr="005F4B47">
        <w:rPr>
          <w:strike/>
        </w:rPr>
        <w:t xml:space="preserve">874, the Department of Revenue shall exclude an imputed value of impact aid receipts from the index of taxpaying ability. </w:t>
      </w:r>
    </w:p>
    <w:p w:rsidR="005F4B47" w:rsidRP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must be determined annually by the Department of Revenue from sales ratio data based on the most recent studies made which correspond with the base year assessments used to compute the current index pursuant to Section 12</w:t>
      </w:r>
      <w:r>
        <w:rPr>
          <w:strike/>
        </w:rPr>
        <w:noBreakHyphen/>
      </w:r>
      <w:r w:rsidRPr="005F4B47">
        <w:rPr>
          <w:strike/>
        </w:rPr>
        <w:t>43</w:t>
      </w:r>
      <w:r>
        <w:rPr>
          <w:strike/>
        </w:rPr>
        <w:noBreakHyphen/>
      </w:r>
      <w:r w:rsidRPr="005F4B47">
        <w:rPr>
          <w:strike/>
        </w:rPr>
        <w:t>250 for assessed property within a school district.  The base year is the second completed taxable year preceding the fiscal year in which the index is used.</w:t>
      </w:r>
      <w:r>
        <w:t xml:space="preserve"> </w:t>
      </w:r>
      <w:r>
        <w:rPr>
          <w:u w:val="single"/>
        </w:rPr>
        <w:t>ratio derived from the calculation of the wages of the county in which the district is substantially located, as reported by the United States Department of Labor, in relation to the total wages of the State.</w:t>
      </w:r>
      <w:r w:rsidRPr="0062223B">
        <w:t xml:space="preserve">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t>
      </w:r>
      <w:r w:rsidRPr="005F4B47">
        <w:rPr>
          <w:strike/>
        </w:rPr>
        <w:t>When the assessment of property is under appeal and the appeal extends beyond the year in which the assessment made pursuant to Section 12</w:t>
      </w:r>
      <w:r>
        <w:rPr>
          <w:strike/>
        </w:rPr>
        <w:noBreakHyphen/>
      </w:r>
      <w:r w:rsidRPr="005F4B47">
        <w:rPr>
          <w:strike/>
        </w:rPr>
        <w:t>43</w:t>
      </w:r>
      <w:r>
        <w:rPr>
          <w:strike/>
        </w:rPr>
        <w:noBreakHyphen/>
      </w:r>
      <w:r w:rsidRPr="005F4B47">
        <w:rPr>
          <w:strike/>
        </w:rPr>
        <w:t>305 is applied, the Department of Revenue shall adjust the index of taxpaying ability in the year in which the appeal is resolved by the amount of any difference between the assessments.  Any</w:t>
      </w:r>
      <w:r w:rsidRPr="0062223B">
        <w:t xml:space="preserve"> </w:t>
      </w:r>
      <w:r>
        <w:rPr>
          <w:u w:val="single"/>
        </w:rPr>
        <w:t>A</w:t>
      </w:r>
      <w:r>
        <w:t xml:space="preserve"> </w:t>
      </w:r>
      <w:r w:rsidRPr="0062223B">
        <w:t xml:space="preserve">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w:t>
      </w:r>
      <w:r w:rsidRPr="005F4B47">
        <w:rPr>
          <w:strike/>
        </w:rPr>
        <w:t xml:space="preserve">The raw information gathered from the </w:t>
      </w:r>
      <w:r w:rsidRPr="005F4B47">
        <w:rPr>
          <w:strike/>
        </w:rPr>
        <w:lastRenderedPageBreak/>
        <w:t>various county officers reflecting the representative sales within the school districts, the consideration, and the reported market value or assessed value for each sale are a part of the public records so preserved.</w:t>
      </w:r>
      <w:r w:rsidRPr="0062223B">
        <w:t xml:space="preserve">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w:t>
      </w:r>
      <w:r w:rsidRPr="005F4B47">
        <w:rPr>
          <w:strike/>
        </w:rPr>
        <w:t>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w:t>
      </w:r>
      <w:r w:rsidRPr="0088430C">
        <w:rPr>
          <w:strike/>
        </w:rPr>
        <w:t xml:space="preserve">.  The appraisals, including all working papers, must be included as the public records to be preserved by the Department of Revenue.  With respect to school districts within counties where abstracts of </w:t>
      </w:r>
      <w:r w:rsidRPr="005F4B47">
        <w:rPr>
          <w:strike/>
        </w:rPr>
        <w:t>duplicates reflecting the assessed value have been filed pursuant to Section 12</w:t>
      </w:r>
      <w:r>
        <w:rPr>
          <w:strike/>
        </w:rPr>
        <w:noBreakHyphen/>
      </w:r>
      <w:r w:rsidRPr="005F4B47">
        <w:rPr>
          <w:strike/>
        </w:rPr>
        <w:t>39</w:t>
      </w:r>
      <w:r>
        <w:rPr>
          <w:strike/>
        </w:rPr>
        <w:noBreakHyphen/>
      </w:r>
      <w:r w:rsidRPr="005F4B47">
        <w:rPr>
          <w:strike/>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5F4B47" w:rsidRP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4B47">
        <w:rPr>
          <w:strike/>
        </w:rPr>
        <w:t>The index of taxpaying ability for a particular current year shall not include the assessed value of property in a school district which is classified under Section 12</w:t>
      </w:r>
      <w:r>
        <w:rPr>
          <w:strike/>
        </w:rPr>
        <w:noBreakHyphen/>
      </w:r>
      <w:r w:rsidRPr="005F4B47">
        <w:rPr>
          <w:strike/>
        </w:rPr>
        <w:t>43</w:t>
      </w:r>
      <w:r>
        <w:rPr>
          <w:strike/>
        </w:rPr>
        <w:noBreakHyphen/>
      </w:r>
      <w:r w:rsidRPr="005F4B47">
        <w:rPr>
          <w:strike/>
        </w:rPr>
        <w:t>220(a) and Section 12</w:t>
      </w:r>
      <w:r>
        <w:rPr>
          <w:strike/>
        </w:rPr>
        <w:noBreakHyphen/>
      </w:r>
      <w:r w:rsidRPr="005F4B47">
        <w:rPr>
          <w:strike/>
        </w:rPr>
        <w:t>43</w:t>
      </w:r>
      <w:r>
        <w:rPr>
          <w:strike/>
        </w:rPr>
        <w:noBreakHyphen/>
      </w:r>
      <w:r w:rsidRPr="005F4B47">
        <w:rPr>
          <w:strike/>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5F4B47" w:rsidRDefault="005F4B47" w:rsidP="005F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4B47">
        <w:tab/>
      </w:r>
      <w:r w:rsidRPr="005F4B47">
        <w:rPr>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w:t>
      </w:r>
      <w:r w:rsidRPr="005F4B47">
        <w:rPr>
          <w:strike/>
        </w:rPr>
        <w:lastRenderedPageBreak/>
        <w:t>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w:t>
      </w:r>
      <w:r>
        <w:t>”</w:t>
      </w:r>
    </w:p>
    <w:p w:rsidR="004B1993"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4B47">
        <w:t>2</w:t>
      </w:r>
      <w:r>
        <w:t>.</w:t>
      </w:r>
      <w:r>
        <w:tab/>
        <w:t>This act takes effect upon approval by the Governor.</w:t>
      </w:r>
    </w:p>
    <w:p w:rsidR="001A63CC" w:rsidRDefault="005F4B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3CC" w:rsidRDefault="001A63CC" w:rsidP="001A63CC">
      <w:pPr>
        <w:suppressAutoHyphens/>
      </w:pPr>
    </w:p>
    <w:sectPr w:rsidR="001A63CC" w:rsidSect="001A63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993" w:rsidRDefault="004B1993" w:rsidP="009F0C77">
      <w:r>
        <w:separator/>
      </w:r>
    </w:p>
  </w:endnote>
  <w:endnote w:type="continuationSeparator" w:id="0">
    <w:p w:rsidR="004B1993" w:rsidRDefault="004B19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59D23-41E2-4A3C-A45A-1B848E9FD040}"/>
    <w:embedBold r:id="rId2" w:fontKey="{882CF6DB-74FD-498E-98D3-642760FC3934}"/>
  </w:font>
  <w:font w:name="Calibri">
    <w:panose1 w:val="020F0502020204030204"/>
    <w:charset w:val="00"/>
    <w:family w:val="swiss"/>
    <w:pitch w:val="variable"/>
    <w:sig w:usb0="A00002EF" w:usb1="4000207B" w:usb2="00000000" w:usb3="00000000" w:csb0="0000009F" w:csb1="00000000"/>
    <w:embedRegular r:id="rId3" w:fontKey="{365E2EF6-2E3B-4748-830C-0DC9C70C6943}"/>
  </w:font>
  <w:font w:name="Tahoma">
    <w:panose1 w:val="020B0604030504040204"/>
    <w:charset w:val="00"/>
    <w:family w:val="swiss"/>
    <w:pitch w:val="variable"/>
    <w:sig w:usb0="61002A87" w:usb1="80000000" w:usb2="00000008" w:usb3="00000000" w:csb0="000101FF" w:csb1="00000000"/>
    <w:embedRegular r:id="rId4" w:fontKey="{096A3DF9-3BD7-4F93-8E73-63E76D1E4D4A}"/>
  </w:font>
  <w:font w:name="Cambria">
    <w:panose1 w:val="02040503050406030204"/>
    <w:charset w:val="00"/>
    <w:family w:val="roman"/>
    <w:pitch w:val="variable"/>
    <w:sig w:usb0="A00002EF" w:usb1="4000004B" w:usb2="00000000" w:usb3="00000000" w:csb0="0000009F" w:csb1="00000000"/>
    <w:embedRegular r:id="rId5" w:fontKey="{6B329DDB-9E27-4185-BF6A-1019296EE4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A9A" w:rsidRPr="001A63CC" w:rsidRDefault="001A63CC" w:rsidP="001A63CC">
    <w:pPr>
      <w:pStyle w:val="Footer"/>
      <w:tabs>
        <w:tab w:val="clear" w:pos="4680"/>
        <w:tab w:val="clear" w:pos="9360"/>
        <w:tab w:val="center" w:pos="2995"/>
      </w:tabs>
      <w:spacing w:before="120"/>
    </w:pPr>
    <w:r>
      <w:t>[4619]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993" w:rsidRDefault="004B1993" w:rsidP="009F0C77">
      <w:r>
        <w:separator/>
      </w:r>
    </w:p>
  </w:footnote>
  <w:footnote w:type="continuationSeparator" w:id="0">
    <w:p w:rsidR="004B1993" w:rsidRDefault="004B19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8BH10"/>
    <w:docVar w:name="CoverBillType" w:val="b"/>
    <w:docVar w:name="docpath" w:val="L:\Council\bills\AGM\19878BH10.DOCX"/>
    <w:docVar w:name="dvBillNumber" w:val="4619"/>
    <w:docVar w:name="dvBillNumberPrefix" w:val="H. "/>
    <w:docVar w:name="dvOriginalBody" w:val="House"/>
    <w:docVar w:name="dvSteno" w:val="AGM"/>
    <w:docVar w:name="NameofBody" w:val="h"/>
    <w:docVar w:name="vgroup2" w:val="Council"/>
  </w:docVars>
  <w:rsids>
    <w:rsidRoot w:val="007845F7"/>
    <w:rsid w:val="00011869"/>
    <w:rsid w:val="000E1785"/>
    <w:rsid w:val="000F40FA"/>
    <w:rsid w:val="0010776B"/>
    <w:rsid w:val="00133E66"/>
    <w:rsid w:val="001435A3"/>
    <w:rsid w:val="001A63C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1993"/>
    <w:rsid w:val="004E7D54"/>
    <w:rsid w:val="004F3149"/>
    <w:rsid w:val="005273C6"/>
    <w:rsid w:val="00530A69"/>
    <w:rsid w:val="00545593"/>
    <w:rsid w:val="005505B1"/>
    <w:rsid w:val="00577C6C"/>
    <w:rsid w:val="005C2FE2"/>
    <w:rsid w:val="005E2BC9"/>
    <w:rsid w:val="005F4B47"/>
    <w:rsid w:val="00605102"/>
    <w:rsid w:val="006215AA"/>
    <w:rsid w:val="006913C9"/>
    <w:rsid w:val="0069470D"/>
    <w:rsid w:val="00734F00"/>
    <w:rsid w:val="007845F7"/>
    <w:rsid w:val="007A70AE"/>
    <w:rsid w:val="0081496B"/>
    <w:rsid w:val="008362E8"/>
    <w:rsid w:val="008428A7"/>
    <w:rsid w:val="0088430C"/>
    <w:rsid w:val="008A1768"/>
    <w:rsid w:val="008F4429"/>
    <w:rsid w:val="0094021A"/>
    <w:rsid w:val="00950A9A"/>
    <w:rsid w:val="009C6A0B"/>
    <w:rsid w:val="009F0C77"/>
    <w:rsid w:val="009F4DD1"/>
    <w:rsid w:val="00A203B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6179"/>
    <w:rsid w:val="00D970A9"/>
    <w:rsid w:val="00DF3845"/>
    <w:rsid w:val="00E41911"/>
    <w:rsid w:val="00E92EEF"/>
    <w:rsid w:val="00F24442"/>
    <w:rsid w:val="00F50AE3"/>
    <w:rsid w:val="00F67CF1"/>
    <w:rsid w:val="00F840F0"/>
    <w:rsid w:val="00FB0D0D"/>
    <w:rsid w:val="00FB43B4"/>
    <w:rsid w:val="00FD1C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149"/>
    <w:rPr>
      <w:rFonts w:ascii="Tahoma" w:hAnsi="Tahoma" w:cs="Tahoma"/>
      <w:sz w:val="16"/>
      <w:szCs w:val="16"/>
    </w:rPr>
  </w:style>
  <w:style w:type="character" w:customStyle="1" w:styleId="BalloonTextChar">
    <w:name w:val="Balloon Text Char"/>
    <w:basedOn w:val="DefaultParagraphFont"/>
    <w:link w:val="BalloonText"/>
    <w:uiPriority w:val="99"/>
    <w:semiHidden/>
    <w:rsid w:val="004F31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F7D27-75BD-4E30-8CE3-3A8495B9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1185</Words>
  <Characters>6250</Characters>
  <Application>Microsoft Office Word</Application>
  <DocSecurity>0</DocSecurity>
  <Lines>145</Lines>
  <Paragraphs>46</Paragraphs>
  <ScaleCrop>false</ScaleCrop>
  <Company> </Company>
  <LinksUpToDate>false</LinksUpToDate>
  <CharactersWithSpaces>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2010-02-23T15:54:00Z</cp:lastPrinted>
  <dcterms:created xsi:type="dcterms:W3CDTF">2010-02-24T20:34:00Z</dcterms:created>
  <dcterms:modified xsi:type="dcterms:W3CDTF">2010-02-24T20:34:00Z</dcterms:modified>
</cp:coreProperties>
</file>