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1A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rPr>
        <w:t xml:space="preserve">TO AMEND </w:t>
      </w:r>
      <w:r w:rsidR="0077193F">
        <w:rPr>
          <w:rFonts w:eastAsia="Calibri"/>
        </w:rPr>
        <w:t>THE CODE OF LAWS OF SOUTH CAROLINA, 1976,</w:t>
      </w:r>
      <w:r>
        <w:rPr>
          <w:rFonts w:eastAsia="Calibri"/>
        </w:rPr>
        <w:t xml:space="preserve"> BY ADDING SECTION 12</w:t>
      </w:r>
      <w:r w:rsidR="0047397B">
        <w:rPr>
          <w:rFonts w:eastAsia="Calibri"/>
        </w:rPr>
        <w:noBreakHyphen/>
      </w:r>
      <w:r>
        <w:rPr>
          <w:rFonts w:eastAsia="Calibri"/>
        </w:rPr>
        <w:t>6</w:t>
      </w:r>
      <w:r w:rsidR="0047397B">
        <w:rPr>
          <w:rFonts w:eastAsia="Calibri"/>
        </w:rPr>
        <w:noBreakHyphen/>
      </w:r>
      <w:r>
        <w:rPr>
          <w:rFonts w:eastAsia="Calibri"/>
        </w:rPr>
        <w:t xml:space="preserve">3592 </w:t>
      </w:r>
      <w:r w:rsidR="005E24E9">
        <w:rPr>
          <w:rFonts w:eastAsia="Calibri"/>
        </w:rPr>
        <w:t xml:space="preserve">SO AS </w:t>
      </w:r>
      <w:r>
        <w:rPr>
          <w:rFonts w:eastAsia="Calibri"/>
        </w:rPr>
        <w:t>TO PROVIDE A TAX CREDIT OF TWENTY</w:t>
      </w:r>
      <w:r w:rsidR="0047397B">
        <w:rPr>
          <w:rFonts w:eastAsia="Calibri"/>
        </w:rPr>
        <w:noBreakHyphen/>
      </w:r>
      <w:r>
        <w:rPr>
          <w:rFonts w:eastAsia="Calibri"/>
        </w:rPr>
        <w:t xml:space="preserve">FIVE PERCENT OF THE PURCHASE COST OF A GEOTHERMAL HEAT PUMP SYSTEM AND TO DEFINE A </w:t>
      </w:r>
      <w:r w:rsidR="0077193F">
        <w:rPr>
          <w:rFonts w:eastAsia="Calibri"/>
        </w:rPr>
        <w:t>“</w:t>
      </w:r>
      <w:r>
        <w:rPr>
          <w:rFonts w:eastAsia="Calibri"/>
        </w:rPr>
        <w:t>GEOTHERMAL HEAT PUMP SYSTEM</w:t>
      </w:r>
      <w:r w:rsidR="0077193F">
        <w:rPr>
          <w:rFonts w:eastAsia="Calibri"/>
        </w:rPr>
        <w:t>”</w:t>
      </w:r>
      <w:r>
        <w:rPr>
          <w:rFonts w:eastAsia="Calibri"/>
        </w:rPr>
        <w:t>.</w:t>
      </w:r>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C9" w:rsidRPr="00707E96" w:rsidRDefault="00EB1A63"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66C9" w:rsidRPr="00707E96">
        <w:rPr>
          <w:color w:val="000000" w:themeColor="text1"/>
          <w:u w:color="000000" w:themeColor="text1"/>
        </w:rPr>
        <w:t>Chapter 6, Title 12 of the 1976 Code is amended by adding:</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47397B">
        <w:rPr>
          <w:color w:val="000000" w:themeColor="text1"/>
          <w:u w:color="000000" w:themeColor="text1"/>
        </w:rPr>
        <w:noBreakHyphen/>
      </w:r>
      <w:r>
        <w:rPr>
          <w:color w:val="000000" w:themeColor="text1"/>
          <w:u w:color="000000" w:themeColor="text1"/>
        </w:rPr>
        <w:t>6</w:t>
      </w:r>
      <w:r w:rsidR="0047397B">
        <w:rPr>
          <w:color w:val="000000" w:themeColor="text1"/>
          <w:u w:color="000000" w:themeColor="text1"/>
        </w:rPr>
        <w:noBreakHyphen/>
      </w:r>
      <w:r>
        <w:rPr>
          <w:color w:val="000000" w:themeColor="text1"/>
          <w:u w:color="000000" w:themeColor="text1"/>
        </w:rPr>
        <w:t>3592.</w:t>
      </w:r>
      <w:r>
        <w:rPr>
          <w:color w:val="000000" w:themeColor="text1"/>
          <w:u w:color="000000" w:themeColor="text1"/>
        </w:rPr>
        <w:tab/>
      </w:r>
      <w:r w:rsidRPr="00707E96">
        <w:rPr>
          <w:color w:val="000000" w:themeColor="text1"/>
          <w:u w:color="000000" w:themeColor="text1"/>
        </w:rPr>
        <w:t>(A)</w:t>
      </w:r>
      <w:r>
        <w:rPr>
          <w:color w:val="000000" w:themeColor="text1"/>
          <w:u w:color="000000" w:themeColor="text1"/>
        </w:rPr>
        <w:tab/>
      </w:r>
      <w:r w:rsidRPr="00707E96">
        <w:rPr>
          <w:color w:val="000000" w:themeColor="text1"/>
          <w:u w:color="000000" w:themeColor="text1"/>
        </w:rPr>
        <w:t>There is allowed as a tax credit against the income tax liability of a taxpayer imposed by this chapter an amount equal to twenty</w:t>
      </w:r>
      <w:r w:rsidR="0047397B">
        <w:rPr>
          <w:color w:val="000000" w:themeColor="text1"/>
          <w:u w:color="000000" w:themeColor="text1"/>
        </w:rPr>
        <w:noBreakHyphen/>
      </w:r>
      <w:r w:rsidRPr="00707E96">
        <w:rPr>
          <w:color w:val="000000" w:themeColor="text1"/>
          <w:u w:color="000000" w:themeColor="text1"/>
        </w:rPr>
        <w:t>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may not exceed three thousand five hundred dollars for each facility or fifty percent of the taxpayer</w:t>
      </w:r>
      <w:r w:rsidR="0047397B" w:rsidRPr="0047397B">
        <w:rPr>
          <w:color w:val="000000" w:themeColor="text1"/>
          <w:u w:color="000000" w:themeColor="text1"/>
        </w:rPr>
        <w:t>’</w:t>
      </w:r>
      <w:r w:rsidRPr="00707E96">
        <w:rPr>
          <w:color w:val="000000" w:themeColor="text1"/>
          <w:u w:color="000000" w:themeColor="text1"/>
        </w:rPr>
        <w:t xml:space="preserve">s tax liability for that taxable year, whichever is less.  If the amount of the credit exceeds three thousand five hundred dollars for each facility, the taxpayer may carry forward the excess for up to ten years. </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7E96">
        <w:rPr>
          <w:color w:val="000000" w:themeColor="text1"/>
          <w:u w:color="000000" w:themeColor="text1"/>
        </w:rPr>
        <w:t>(B)</w:t>
      </w:r>
      <w:r>
        <w:rPr>
          <w:color w:val="000000" w:themeColor="text1"/>
          <w:u w:color="000000" w:themeColor="text1"/>
        </w:rPr>
        <w:tab/>
      </w:r>
      <w:r w:rsidR="0047397B" w:rsidRPr="0047397B">
        <w:rPr>
          <w:color w:val="000000" w:themeColor="text1"/>
          <w:u w:color="000000" w:themeColor="text1"/>
        </w:rPr>
        <w:t>‘</w:t>
      </w:r>
      <w:r w:rsidRPr="00707E96">
        <w:rPr>
          <w:color w:val="000000" w:themeColor="text1"/>
          <w:u w:color="000000" w:themeColor="text1"/>
        </w:rPr>
        <w:t>System</w:t>
      </w:r>
      <w:r w:rsidR="0047397B" w:rsidRPr="0047397B">
        <w:rPr>
          <w:color w:val="000000" w:themeColor="text1"/>
          <w:u w:color="000000" w:themeColor="text1"/>
        </w:rPr>
        <w:t>’</w:t>
      </w:r>
      <w:r w:rsidRPr="00707E96">
        <w:rPr>
          <w:color w:val="000000" w:themeColor="text1"/>
          <w:u w:color="000000" w:themeColor="text1"/>
        </w:rPr>
        <w:t xml:space="preserve"> includes all controls, tanks, pumps, heat exchangers, and other equipment used directly and exclusively for the geothermal heat pump system.  The term </w:t>
      </w:r>
      <w:r w:rsidR="0047397B" w:rsidRPr="0047397B">
        <w:rPr>
          <w:color w:val="000000" w:themeColor="text1"/>
          <w:u w:color="000000" w:themeColor="text1"/>
        </w:rPr>
        <w:t>‘</w:t>
      </w:r>
      <w:r w:rsidRPr="00707E96">
        <w:rPr>
          <w:color w:val="000000" w:themeColor="text1"/>
          <w:u w:color="000000" w:themeColor="text1"/>
        </w:rPr>
        <w:t>system</w:t>
      </w:r>
      <w:r w:rsidR="0047397B" w:rsidRPr="0047397B">
        <w:rPr>
          <w:color w:val="000000" w:themeColor="text1"/>
          <w:u w:color="000000" w:themeColor="text1"/>
        </w:rPr>
        <w:t>’</w:t>
      </w:r>
      <w:r w:rsidRPr="00707E96">
        <w:rPr>
          <w:color w:val="000000" w:themeColor="text1"/>
          <w:u w:color="000000" w:themeColor="text1"/>
        </w:rPr>
        <w:t xml:space="preserve"> does not include any land or structural elements of the building such as walls and roofs or other equipment ordinarily contained in the structure.</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07E96">
        <w:rPr>
          <w:color w:val="000000" w:themeColor="text1"/>
          <w:u w:color="000000" w:themeColor="text1"/>
        </w:rPr>
        <w:t>(C)</w:t>
      </w:r>
      <w:r>
        <w:rPr>
          <w:color w:val="000000" w:themeColor="text1"/>
          <w:u w:color="000000" w:themeColor="text1"/>
        </w:rPr>
        <w:tab/>
      </w:r>
      <w:r w:rsidRPr="00707E96">
        <w:rPr>
          <w:color w:val="000000" w:themeColor="text1"/>
          <w:u w:color="000000" w:themeColor="text1"/>
        </w:rPr>
        <w:t xml:space="preserve">For purposes of this section, </w:t>
      </w:r>
      <w:r w:rsidR="0047397B" w:rsidRPr="0047397B">
        <w:rPr>
          <w:color w:val="000000" w:themeColor="text1"/>
          <w:u w:color="000000" w:themeColor="text1"/>
        </w:rPr>
        <w:t>‘</w:t>
      </w:r>
      <w:r w:rsidRPr="00707E96">
        <w:rPr>
          <w:color w:val="000000" w:themeColor="text1"/>
          <w:u w:color="000000" w:themeColor="text1"/>
        </w:rPr>
        <w:t>geothermal heat pump system</w:t>
      </w:r>
      <w:r w:rsidR="0047397B" w:rsidRPr="0047397B">
        <w:rPr>
          <w:color w:val="000000" w:themeColor="text1"/>
          <w:u w:color="000000" w:themeColor="text1"/>
        </w:rPr>
        <w:t>’</w:t>
      </w:r>
      <w:r w:rsidRPr="00707E96">
        <w:rPr>
          <w:color w:val="000000" w:themeColor="text1"/>
          <w:u w:color="000000" w:themeColor="text1"/>
        </w:rPr>
        <w:t xml:space="preserve"> means a system that uses the ground or groundwater as a thermal energy source to heat a structure or as a thermal energy sink to cool a structure.</w:t>
      </w:r>
      <w:r>
        <w:rPr>
          <w:color w:val="000000" w:themeColor="text1"/>
          <w:u w:color="000000" w:themeColor="text1"/>
        </w:rPr>
        <w:t>”</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6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E96">
        <w:rPr>
          <w:color w:val="000000" w:themeColor="text1"/>
          <w:u w:color="000000" w:themeColor="text1"/>
        </w:rPr>
        <w:t>SECTION</w:t>
      </w:r>
      <w:r w:rsidRPr="00707E96">
        <w:rPr>
          <w:color w:val="000000" w:themeColor="text1"/>
          <w:u w:color="000000" w:themeColor="text1"/>
        </w:rPr>
        <w:tab/>
        <w:t>2.</w:t>
      </w:r>
      <w:r w:rsidRPr="00707E96">
        <w:rPr>
          <w:color w:val="000000" w:themeColor="text1"/>
          <w:u w:color="000000" w:themeColor="text1"/>
        </w:rPr>
        <w:tab/>
      </w:r>
      <w:r w:rsidR="00EB1A63">
        <w:t>This act takes effect upon approval by the Governor.</w:t>
      </w:r>
    </w:p>
    <w:p w:rsidR="00AE401B" w:rsidRDefault="00473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01B" w:rsidRDefault="00AE401B" w:rsidP="00AE401B">
      <w:pPr>
        <w:suppressAutoHyphens/>
      </w:pPr>
    </w:p>
    <w:sectPr w:rsidR="00AE401B" w:rsidSect="00AE40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A63" w:rsidRDefault="00EB1A63" w:rsidP="009F0C77">
      <w:r>
        <w:separator/>
      </w:r>
    </w:p>
  </w:endnote>
  <w:endnote w:type="continuationSeparator" w:id="0">
    <w:p w:rsidR="00EB1A63" w:rsidRDefault="00EB1A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40F024-E835-4DC2-9AF7-D443FE33CD74}"/>
    <w:embedBold r:id="rId2" w:fontKey="{36123707-C2F3-4493-A3C0-0A1DA88B6A03}"/>
  </w:font>
  <w:font w:name="Calibri">
    <w:panose1 w:val="020F0502020204030204"/>
    <w:charset w:val="00"/>
    <w:family w:val="swiss"/>
    <w:pitch w:val="variable"/>
    <w:sig w:usb0="A00002EF" w:usb1="4000207B" w:usb2="00000000" w:usb3="00000000" w:csb0="0000009F" w:csb1="00000000"/>
    <w:embedRegular r:id="rId3" w:fontKey="{371DC87A-7021-4904-955B-67568860253C}"/>
  </w:font>
  <w:font w:name="Tahoma">
    <w:panose1 w:val="020B0604030504040204"/>
    <w:charset w:val="00"/>
    <w:family w:val="swiss"/>
    <w:pitch w:val="variable"/>
    <w:sig w:usb0="61002A87" w:usb1="80000000" w:usb2="00000008" w:usb3="00000000" w:csb0="000101FF" w:csb1="00000000"/>
    <w:embedRegular r:id="rId4" w:fontKey="{70BD791C-928A-44C5-BB51-ACCFDAFF2780}"/>
  </w:font>
  <w:font w:name="Cambria">
    <w:panose1 w:val="02040503050406030204"/>
    <w:charset w:val="00"/>
    <w:family w:val="roman"/>
    <w:pitch w:val="variable"/>
    <w:sig w:usb0="A00002EF" w:usb1="4000004B" w:usb2="00000000" w:usb3="00000000" w:csb0="0000009F" w:csb1="00000000"/>
    <w:embedRegular r:id="rId5" w:fontKey="{FBDBD346-88B4-4C94-9593-67B44CFAEC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022" w:rsidRPr="00AE401B" w:rsidRDefault="00AE401B" w:rsidP="00AE401B">
    <w:pPr>
      <w:pStyle w:val="Footer"/>
      <w:tabs>
        <w:tab w:val="clear" w:pos="4680"/>
        <w:tab w:val="clear" w:pos="9360"/>
        <w:tab w:val="center" w:pos="2995"/>
      </w:tabs>
      <w:spacing w:before="120"/>
    </w:pPr>
    <w:r>
      <w:t>[4631]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A63" w:rsidRDefault="00EB1A63" w:rsidP="009F0C77">
      <w:r>
        <w:separator/>
      </w:r>
    </w:p>
  </w:footnote>
  <w:footnote w:type="continuationSeparator" w:id="0">
    <w:p w:rsidR="00EB1A63" w:rsidRDefault="00EB1A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65HTC10"/>
    <w:docVar w:name="CoverBillType" w:val="b"/>
    <w:docVar w:name="docpath" w:val="L:\Council\bills\BBM\9565HTC10.DOCX"/>
    <w:docVar w:name="dvBillNumber" w:val="4631"/>
    <w:docVar w:name="dvBillNumberPrefix" w:val="H. "/>
    <w:docVar w:name="dvOriginalBody" w:val="House"/>
    <w:docVar w:name="dvSteno" w:val="BBM"/>
    <w:docVar w:name="NameofBody" w:val="h"/>
    <w:docVar w:name="vgroup2" w:val="Council"/>
  </w:docVars>
  <w:rsids>
    <w:rsidRoot w:val="00EA7E17"/>
    <w:rsid w:val="00011869"/>
    <w:rsid w:val="000666C9"/>
    <w:rsid w:val="000E1785"/>
    <w:rsid w:val="000F40FA"/>
    <w:rsid w:val="0010776B"/>
    <w:rsid w:val="00133E66"/>
    <w:rsid w:val="001435A3"/>
    <w:rsid w:val="001D08F2"/>
    <w:rsid w:val="001D525B"/>
    <w:rsid w:val="001D7F4F"/>
    <w:rsid w:val="001F41B3"/>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397B"/>
    <w:rsid w:val="004809EE"/>
    <w:rsid w:val="004E7D54"/>
    <w:rsid w:val="005273C6"/>
    <w:rsid w:val="00530A69"/>
    <w:rsid w:val="00545593"/>
    <w:rsid w:val="00577C6C"/>
    <w:rsid w:val="005C2FE2"/>
    <w:rsid w:val="005E24E9"/>
    <w:rsid w:val="005E2BC9"/>
    <w:rsid w:val="00605102"/>
    <w:rsid w:val="006215AA"/>
    <w:rsid w:val="006913C9"/>
    <w:rsid w:val="0069470D"/>
    <w:rsid w:val="006F042C"/>
    <w:rsid w:val="00734F00"/>
    <w:rsid w:val="0077193F"/>
    <w:rsid w:val="007A70AE"/>
    <w:rsid w:val="008362E8"/>
    <w:rsid w:val="008A1768"/>
    <w:rsid w:val="008F4429"/>
    <w:rsid w:val="00901EDF"/>
    <w:rsid w:val="0094021A"/>
    <w:rsid w:val="009C6A0B"/>
    <w:rsid w:val="009F0C77"/>
    <w:rsid w:val="009F4DD1"/>
    <w:rsid w:val="00A41684"/>
    <w:rsid w:val="00A64E80"/>
    <w:rsid w:val="00A72BCD"/>
    <w:rsid w:val="00A741D9"/>
    <w:rsid w:val="00A833AB"/>
    <w:rsid w:val="00A9741D"/>
    <w:rsid w:val="00AD4B17"/>
    <w:rsid w:val="00AE401B"/>
    <w:rsid w:val="00B412D4"/>
    <w:rsid w:val="00BC0E60"/>
    <w:rsid w:val="00BE3C22"/>
    <w:rsid w:val="00C0345E"/>
    <w:rsid w:val="00C34022"/>
    <w:rsid w:val="00C3483A"/>
    <w:rsid w:val="00C74E9D"/>
    <w:rsid w:val="00C82FD3"/>
    <w:rsid w:val="00C92819"/>
    <w:rsid w:val="00CC6B7B"/>
    <w:rsid w:val="00CD2089"/>
    <w:rsid w:val="00D73A67"/>
    <w:rsid w:val="00D970A9"/>
    <w:rsid w:val="00DF3845"/>
    <w:rsid w:val="00E41911"/>
    <w:rsid w:val="00E92EEF"/>
    <w:rsid w:val="00EA7E17"/>
    <w:rsid w:val="00EB1A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93F"/>
    <w:rPr>
      <w:rFonts w:ascii="Tahoma" w:hAnsi="Tahoma" w:cs="Tahoma"/>
      <w:sz w:val="16"/>
      <w:szCs w:val="16"/>
    </w:rPr>
  </w:style>
  <w:style w:type="character" w:customStyle="1" w:styleId="BalloonTextChar">
    <w:name w:val="Balloon Text Char"/>
    <w:basedOn w:val="DefaultParagraphFont"/>
    <w:link w:val="BalloonText"/>
    <w:uiPriority w:val="99"/>
    <w:semiHidden/>
    <w:rsid w:val="007719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6FF21-1BC8-4F40-9ACC-1191513E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1533</Characters>
  <Application>Microsoft Office Word</Application>
  <DocSecurity>0</DocSecurity>
  <Lines>12</Lines>
  <Paragraphs>3</Paragraphs>
  <ScaleCrop>false</ScaleCrop>
  <Company> </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2010-02-17T15:42:00Z</cp:lastPrinted>
  <dcterms:created xsi:type="dcterms:W3CDTF">2010-02-25T16:53:00Z</dcterms:created>
  <dcterms:modified xsi:type="dcterms:W3CDTF">2010-02-25T16:53:00Z</dcterms:modified>
</cp:coreProperties>
</file>