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5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5</w:t>
      </w:r>
      <w:r>
        <w:noBreakHyphen/>
        <w:t>142 SO AS TO PROVIDE THAT IN AN ACTION FOR AN UNFAIR TRADE PRACTICE BROUGHT BY A PERSON WHO IS SIXTY</w:t>
      </w:r>
      <w:r>
        <w:noBreakHyphen/>
        <w:t>FIVE YEARS OF AGE OR OLDER, A VULNERABLE ADULT, OR HANDICAPPED, THE PERSON MAY BE AWARDED UP TO FIVE THOUSAND DOLLARS IN ADDITION TO OTHER DAMAGES AND REMEDIES WHERE CERTAIN FINDINGS ARE MADE AND TO PROVIDE FOR THE AWARDING OF COURT COSTS AND ATTORNEY</w:t>
      </w:r>
      <w:r w:rsidRPr="00AB2723">
        <w:t>’</w:t>
      </w:r>
      <w:r>
        <w:t>S FEES.</w:t>
      </w:r>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5619" w:rsidRDefault="00FE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5, Title 39 of the 1976 Code is amended by adding:</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5</w:t>
      </w:r>
      <w:r>
        <w:noBreakHyphen/>
        <w:t>142.</w:t>
      </w:r>
      <w:r>
        <w:tab/>
        <w:t>(A)</w:t>
      </w:r>
      <w:r>
        <w:tab/>
        <w:t>As part of an action brought under this article for an unfair trade practice, a person who is sixty</w:t>
      </w:r>
      <w:r>
        <w:noBreakHyphen/>
        <w:t>five years of age or older, a vulnerable adult, as defined in Section 43</w:t>
      </w:r>
      <w:r>
        <w:noBreakHyphen/>
        <w:t>35</w:t>
      </w:r>
      <w:r>
        <w:noBreakHyphen/>
        <w:t>10, or handicapped, as defined in Section 2</w:t>
      </w:r>
      <w:r>
        <w:noBreakHyphen/>
        <w:t>7</w:t>
      </w:r>
      <w:r>
        <w:noBreakHyphen/>
        <w:t>35, may seek and be awarded, in addition to the damages and remedies specified in this article, up to five thousand dollars where the trier of fact:</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finds that the person has suffered substantial physical, emotional, or economic damage resulting from the defendant</w:t>
      </w:r>
      <w:r w:rsidRPr="00AB2723">
        <w:t>’</w:t>
      </w:r>
      <w:r>
        <w:t>s conduct;</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makes an affirmative finding in regard to one or more of these factors:</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whether the defendant knew or should have known that his or her conduct was directed to one or more persons who are sixty</w:t>
      </w:r>
      <w:r>
        <w:noBreakHyphen/>
        <w:t>five years of age or older, vulnerable adults, or handicapped;</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whether the defendant</w:t>
      </w:r>
      <w:r w:rsidRPr="00AB2723">
        <w:t>’</w:t>
      </w:r>
      <w:r>
        <w:t xml:space="preserve">s conduct caused the person to suffer: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 xml:space="preserve">loss or encumbrance of a primary residence, principal employment, or source of income;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 xml:space="preserve">substantial loss of property set aside for retirement or for personal or family care and maintenance; or </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substantial loss of payments received under a pension or retirement plan or a government benefits program or assets essential to the health or welfare of these persons; or</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whether the person is substantially more vulnerable than other members of the public to the defendant</w:t>
      </w:r>
      <w:r w:rsidRPr="00AB2723">
        <w:t>’</w:t>
      </w:r>
      <w:r>
        <w:t>s conduct because of age, poor health or infirmity, impaired understanding, restricted mobility, or disability and actually suffered substantial physical, emotional, or economic damage resulting from the defendant</w:t>
      </w:r>
      <w:r w:rsidRPr="00AB2723">
        <w:t>’</w:t>
      </w:r>
      <w:r>
        <w:t>s conduct; and</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finds that an additional award is appropriate.</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court shall award court costs and attorney</w:t>
      </w:r>
      <w:r w:rsidRPr="00AB2723">
        <w:t>’</w:t>
      </w:r>
      <w:r>
        <w:t>s fees to a prevailing plaintiff in litigation filed pursuant to this section.  Reasonable attorney</w:t>
      </w:r>
      <w:r w:rsidRPr="00AB2723">
        <w:t>’</w:t>
      </w:r>
      <w:r>
        <w:t>s fees may be awarded to a prevailing defendant upon a finding by the court that the plaintiff</w:t>
      </w:r>
      <w:r w:rsidRPr="00AB2723">
        <w:t>’</w:t>
      </w:r>
      <w:r>
        <w:t>s prosecution of the action was not in good faith.”</w:t>
      </w:r>
    </w:p>
    <w:p w:rsidR="00AB2723"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723" w:rsidP="00AB2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53CE" w:rsidRDefault="00AB27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3CE" w:rsidRDefault="004053CE" w:rsidP="004053CE">
      <w:pPr>
        <w:suppressAutoHyphens/>
      </w:pPr>
    </w:p>
    <w:sectPr w:rsidR="004053CE" w:rsidSect="004053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619" w:rsidRDefault="00FE5619" w:rsidP="009F0C77">
      <w:r>
        <w:separator/>
      </w:r>
    </w:p>
  </w:endnote>
  <w:endnote w:type="continuationSeparator" w:id="0">
    <w:p w:rsidR="00FE5619" w:rsidRDefault="00FE56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525918-BE82-4198-87E6-78AE84C93555}"/>
    <w:embedBold r:id="rId2" w:fontKey="{28E563AC-6F96-4F22-A267-9F4D4FCC29A3}"/>
  </w:font>
  <w:font w:name="Calibri">
    <w:panose1 w:val="020F0502020204030204"/>
    <w:charset w:val="00"/>
    <w:family w:val="swiss"/>
    <w:pitch w:val="variable"/>
    <w:sig w:usb0="A00002EF" w:usb1="4000207B" w:usb2="00000000" w:usb3="00000000" w:csb0="0000009F" w:csb1="00000000"/>
    <w:embedRegular r:id="rId3" w:fontKey="{DA052E76-4300-473B-8ADE-5FDDF3113F68}"/>
  </w:font>
  <w:font w:name="Tahoma">
    <w:panose1 w:val="020B0604030504040204"/>
    <w:charset w:val="00"/>
    <w:family w:val="swiss"/>
    <w:pitch w:val="variable"/>
    <w:sig w:usb0="61002A87" w:usb1="80000000" w:usb2="00000008" w:usb3="00000000" w:csb0="000101FF" w:csb1="00000000"/>
    <w:embedRegular r:id="rId4" w:fontKey="{160D19DA-AF34-48DB-B11F-C9A25837E92E}"/>
  </w:font>
  <w:font w:name="Cambria">
    <w:panose1 w:val="02040503050406030204"/>
    <w:charset w:val="00"/>
    <w:family w:val="roman"/>
    <w:pitch w:val="variable"/>
    <w:sig w:usb0="A00002EF" w:usb1="4000004B" w:usb2="00000000" w:usb3="00000000" w:csb0="0000009F" w:csb1="00000000"/>
    <w:embedRegular r:id="rId5" w:fontKey="{09585E8D-3247-4079-AE3D-8A1D5D44C1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D61" w:rsidRPr="004053CE" w:rsidRDefault="004053CE" w:rsidP="004053CE">
    <w:pPr>
      <w:pStyle w:val="Footer"/>
      <w:tabs>
        <w:tab w:val="clear" w:pos="4680"/>
        <w:tab w:val="clear" w:pos="9360"/>
        <w:tab w:val="center" w:pos="2995"/>
      </w:tabs>
      <w:spacing w:before="120"/>
    </w:pPr>
    <w:r>
      <w:t>[4668]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619" w:rsidRDefault="00FE5619" w:rsidP="009F0C77">
      <w:r>
        <w:separator/>
      </w:r>
    </w:p>
  </w:footnote>
  <w:footnote w:type="continuationSeparator" w:id="0">
    <w:p w:rsidR="00FE5619" w:rsidRDefault="00FE56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45AC10"/>
    <w:docVar w:name="CoverBillType" w:val="b"/>
    <w:docVar w:name="docpath" w:val="L:\Council\bills\NBD\11545AC10.DOCX"/>
    <w:docVar w:name="dvBillNumber" w:val="4668"/>
    <w:docVar w:name="dvBillNumberPrefix" w:val="H. "/>
    <w:docVar w:name="dvOriginalBody" w:val="House"/>
    <w:docVar w:name="dvSteno" w:val="NBD"/>
    <w:docVar w:name="NameofBody" w:val="h"/>
    <w:docVar w:name="vgroup2" w:val="Council"/>
  </w:docVars>
  <w:rsids>
    <w:rsidRoot w:val="00E3161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53CE"/>
    <w:rsid w:val="0041760A"/>
    <w:rsid w:val="00417C01"/>
    <w:rsid w:val="004809EE"/>
    <w:rsid w:val="004E7D54"/>
    <w:rsid w:val="005273C6"/>
    <w:rsid w:val="00530A69"/>
    <w:rsid w:val="00545593"/>
    <w:rsid w:val="00577C6C"/>
    <w:rsid w:val="005C2FE2"/>
    <w:rsid w:val="005E2BC9"/>
    <w:rsid w:val="00604AF4"/>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B2723"/>
    <w:rsid w:val="00AD4B17"/>
    <w:rsid w:val="00B412D4"/>
    <w:rsid w:val="00B82597"/>
    <w:rsid w:val="00BE3C22"/>
    <w:rsid w:val="00C0345E"/>
    <w:rsid w:val="00C3483A"/>
    <w:rsid w:val="00C679A9"/>
    <w:rsid w:val="00C74E9D"/>
    <w:rsid w:val="00C82FD3"/>
    <w:rsid w:val="00C867C3"/>
    <w:rsid w:val="00C92819"/>
    <w:rsid w:val="00CC6B7B"/>
    <w:rsid w:val="00CD2089"/>
    <w:rsid w:val="00D2182F"/>
    <w:rsid w:val="00D73A67"/>
    <w:rsid w:val="00D970A9"/>
    <w:rsid w:val="00DC5D61"/>
    <w:rsid w:val="00DF3845"/>
    <w:rsid w:val="00E31611"/>
    <w:rsid w:val="00E41911"/>
    <w:rsid w:val="00E92EEF"/>
    <w:rsid w:val="00F24442"/>
    <w:rsid w:val="00F50AE3"/>
    <w:rsid w:val="00F67CF1"/>
    <w:rsid w:val="00F840F0"/>
    <w:rsid w:val="00FB0D0D"/>
    <w:rsid w:val="00FB43B4"/>
    <w:rsid w:val="00FE56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7C3"/>
    <w:rPr>
      <w:rFonts w:ascii="Tahoma" w:hAnsi="Tahoma" w:cs="Tahoma"/>
      <w:sz w:val="16"/>
      <w:szCs w:val="16"/>
    </w:rPr>
  </w:style>
  <w:style w:type="character" w:customStyle="1" w:styleId="BalloonTextChar">
    <w:name w:val="Balloon Text Char"/>
    <w:basedOn w:val="DefaultParagraphFont"/>
    <w:link w:val="BalloonText"/>
    <w:uiPriority w:val="99"/>
    <w:semiHidden/>
    <w:rsid w:val="00C867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7212E-3A0E-417A-B415-5385DC1F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2241</Characters>
  <Application>Microsoft Office Word</Application>
  <DocSecurity>0</DocSecurity>
  <Lines>18</Lines>
  <Paragraphs>5</Paragraphs>
  <ScaleCrop>false</ScaleCrop>
  <Company> </Company>
  <LinksUpToDate>false</LinksUpToDate>
  <CharactersWithSpaces>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2010-02-23T17:19:00Z</cp:lastPrinted>
  <dcterms:created xsi:type="dcterms:W3CDTF">2010-03-03T15:17:00Z</dcterms:created>
  <dcterms:modified xsi:type="dcterms:W3CDTF">2010-03-03T15:17:00Z</dcterms:modified>
</cp:coreProperties>
</file>