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23, TITLE 48 OF THE 1976 CODE, RELATING GENERALLY TO FORESTRY, BY ADDING SECTION 48</w:t>
      </w:r>
      <w:r>
        <w:rPr>
          <w:rFonts w:eastAsia="Times New Roman"/>
        </w:rPr>
        <w:noBreakHyphen/>
        <w:t>23</w:t>
      </w:r>
      <w:r>
        <w:rPr>
          <w:rFonts w:eastAsia="Times New Roman"/>
        </w:rPr>
        <w:noBreakHyphen/>
        <w:t>300 TO PLACE LIMITS ON ANY COUNTY OR MUNICIPAL ORDINANCE, RULE, REGULATION, OR RESOLUTION CONCERNING FORESTRY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23,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48</w:t>
      </w:r>
      <w:r>
        <w:rPr>
          <w:rFonts w:eastAsia="Times New Roman"/>
          <w:color w:val="000000" w:themeColor="text1"/>
          <w:u w:color="000000" w:themeColor="text1"/>
        </w:rPr>
        <w:noBreakHyphen/>
        <w:t>23</w:t>
      </w:r>
      <w:r>
        <w:rPr>
          <w:rFonts w:eastAsia="Times New Roman"/>
          <w:color w:val="000000" w:themeColor="text1"/>
          <w:u w:color="000000" w:themeColor="text1"/>
        </w:rPr>
        <w:noBreakHyphen/>
        <w:t>300.</w:t>
      </w:r>
      <w:r>
        <w:rPr>
          <w:rFonts w:eastAsia="Times New Roman"/>
          <w:color w:val="000000" w:themeColor="text1"/>
          <w:u w:color="000000" w:themeColor="text1"/>
        </w:rPr>
        <w:tab/>
        <w:t>(A)</w:t>
      </w:r>
      <w:r>
        <w:rPr>
          <w:rFonts w:eastAsia="Times New Roman"/>
          <w:color w:val="000000" w:themeColor="text1"/>
          <w:u w:color="000000" w:themeColor="text1"/>
        </w:rP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‘Development’ means any activity, including timber harvesting, that is associated with the conversion of forestland to non</w:t>
      </w:r>
      <w:r>
        <w:rPr>
          <w:rFonts w:eastAsia="Times New Roman"/>
          <w:color w:val="000000" w:themeColor="text1"/>
          <w:u w:color="000000" w:themeColor="text1"/>
        </w:rPr>
        <w:noBreakHyphen/>
        <w:t>forest or non</w:t>
      </w:r>
      <w:r>
        <w:rPr>
          <w:rFonts w:eastAsia="Times New Roman"/>
          <w:color w:val="000000" w:themeColor="text1"/>
          <w:u w:color="000000" w:themeColor="text1"/>
        </w:rPr>
        <w:noBreakHyphen/>
        <w:t>agricultural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‘Forest land’ means land supporting a stand or potential stand of trees that may be utilized for timber products, watershed or wildlife protection, recreational uses, or for other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‘Forestry service’ means any professional service relating to a forestry management plant or forestry activity including, but not limited to, consultation, investigation, evaluation, planning, or responsible supervision of forest management, protection, silviculture, measurements, utilization, economics, education, or other forestry activities in connection with any public or private lands.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‘Forest management plan’ means a document prepared or approved by a forester registered in this State that defines a landowner’s forest management objectives and describes specific measures to be taken to achieve those objectives.  A forest management plan shall include silvicultural practices that both ensure forest productivity and environmental protection of land by </w:t>
      </w:r>
      <w:r>
        <w:rPr>
          <w:rFonts w:eastAsia="Times New Roman"/>
          <w:color w:val="000000" w:themeColor="text1"/>
          <w:u w:color="000000" w:themeColor="text1"/>
        </w:rPr>
        <w:lastRenderedPageBreak/>
        <w:t>either commercially growing timber through the establishment of forest stands or by ensuring the proper regeneration of forest stands in accordance with the management plan after the harvest of timber.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‘Forestry activity’ means any activity associated with the growing, managing, harvesting, and related transportation, reforestation, or protection of trees and timber, provided that such activities comply with existing South Carolina rules and regulations pertaining to forestry.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A county or municipality shall not adopt or enforce any ordinance, rule, regulation, or resolution related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forestry activities on forestland that is taxed on the basis of its present</w:t>
      </w:r>
      <w:r>
        <w:rPr>
          <w:rFonts w:eastAsia="Times New Roman"/>
          <w:color w:val="000000" w:themeColor="text1"/>
          <w:u w:color="000000" w:themeColor="text1"/>
        </w:rPr>
        <w:noBreakHyphen/>
        <w:t>use value as forestland under Section 12</w:t>
      </w:r>
      <w:r>
        <w:rPr>
          <w:rFonts w:eastAsia="Times New Roman"/>
          <w:color w:val="000000" w:themeColor="text1"/>
          <w:u w:color="000000" w:themeColor="text1"/>
        </w:rPr>
        <w:noBreakHyphen/>
        <w:t>43</w:t>
      </w:r>
      <w:r>
        <w:rPr>
          <w:rFonts w:eastAsia="Times New Roman"/>
          <w:color w:val="000000" w:themeColor="text1"/>
          <w:u w:color="000000" w:themeColor="text1"/>
        </w:rPr>
        <w:noBreakHyphen/>
        <w:t>220(d)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forestry activities that are conducted in accordance with a forest management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This section does not limit, expand, or otherwise alter the authority of a county or municipality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regulate activities associated with development, provided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a county or municipality may deny a building permit or refuse to approve a site disturbance or subdivision plan, that if implemented would result in a change from forest land to non</w:t>
      </w:r>
      <w:r>
        <w:rPr>
          <w:rFonts w:eastAsia="Times New Roman"/>
          <w:color w:val="000000" w:themeColor="text1"/>
          <w:u w:color="000000" w:themeColor="text1"/>
        </w:rPr>
        <w:noBreakHyphen/>
        <w:t>forest or non</w:t>
      </w:r>
      <w:r>
        <w:rPr>
          <w:rFonts w:eastAsia="Times New Roman"/>
          <w:color w:val="000000" w:themeColor="text1"/>
          <w:u w:color="000000" w:themeColor="text1"/>
        </w:rPr>
        <w:noBreakHyphen/>
        <w:t>agricultural use, for a period of up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three years after the completion of a timber harvest if the harvest results in the removal of all or substantially all of the trees that were protected under county or municipal regulations governing development from the tract of land for which the permit or approval is sought;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five years after the completion of a timber harvest if the harvest results in the removal of all or substantially all of the trees that were protected under county or municipal regulations governing development from the tract of land for which the permit or approval is sought and the harvest was a willful violation of the county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a county or municipality may not continue to deny a permit pursuant to item (a) if ownership of the tract of land for which the permit is sought transfers through inheritance;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regulate trees pursuant to any local act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adopt ordinances that are necessary to comply with any federal or state law, regulation, or rule;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(4)</w:t>
      </w:r>
      <w:r>
        <w:rPr>
          <w:rFonts w:eastAsia="Times New Roman"/>
          <w:color w:val="000000" w:themeColor="text1"/>
          <w:u w:color="000000" w:themeColor="text1"/>
        </w:rPr>
        <w:tab/>
        <w:t>exercise its planning or zoning authority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0D0B6D-A974-458C-9217-4094CDC4E5F5}"/>
    <w:embedBold r:id="rId2" w:fontKey="{F0620054-C1E0-4F2C-9618-0669F6F5FCEA}"/>
  </w:font>
  <w:font w:name="Calibri">
    <w:panose1 w:val="020F0502020204030204"/>
    <w:charset w:val="00"/>
    <w:family w:val="swiss"/>
    <w:pitch w:val="variable"/>
    <w:sig w:usb0="A00002EF" w:usb1="4000207B" w:usb2="00000000" w:usb3="00000000" w:csb0="0000009F" w:csb1="00000000"/>
    <w:embedRegular r:id="rId3" w:fontKey="{87234572-6E39-46FB-A15F-3D0467220B12}"/>
  </w:font>
  <w:font w:name="Cambria">
    <w:panose1 w:val="02040503050406030204"/>
    <w:charset w:val="00"/>
    <w:family w:val="roman"/>
    <w:pitch w:val="variable"/>
    <w:sig w:usb0="A00002EF" w:usb1="4000004B" w:usb2="00000000" w:usb3="00000000" w:csb0="0000009F" w:csb1="00000000"/>
    <w:embedRegular r:id="rId4" w:fontKey="{5AA343EB-2B86-4FFB-920E-D3E702FFE4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[494]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5FORE.KMM.RWC"/>
    <w:docVar w:name="CoverAttorneyInitials" w:val="KMM"/>
    <w:docVar w:name="CoverAttorneyLastName" w:val="Moffitt"/>
    <w:docVar w:name="CoverBillType" w:val="b"/>
    <w:docVar w:name="CoverSenator" w:val="RWC"/>
    <w:docVar w:name="dvBillNumber" w:val="494"/>
    <w:docVar w:name="dvBillNumberPrefix" w:val="S. "/>
    <w:docVar w:name="dvOriginalBody" w:val="Senate"/>
    <w:docVar w:name="fulldraftpath" w:val="L:\S-RES\RWC\005FORE.KMM.RW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2009-02-26T18:26:00Z</dcterms:created>
  <dcterms:modified xsi:type="dcterms:W3CDTF">2009-02-26T18:26:00Z</dcterms:modified>
</cp:coreProperties>
</file>