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Pr>
          <w:rFonts w:eastAsia="Times New Roman"/>
          <w:color w:val="000000" w:themeColor="text1"/>
          <w:u w:color="000000" w:themeColor="text1"/>
        </w:rPr>
        <w:t>TO AMEND SECTION 16</w:t>
      </w:r>
      <w:r>
        <w:rPr>
          <w:rFonts w:eastAsia="Times New Roman"/>
          <w:color w:val="000000" w:themeColor="text1"/>
          <w:u w:color="000000" w:themeColor="text1"/>
        </w:rPr>
        <w:noBreakHyphen/>
        <w:t>3</w:t>
      </w:r>
      <w:r>
        <w:rPr>
          <w:rFonts w:eastAsia="Times New Roman"/>
          <w:color w:val="000000" w:themeColor="text1"/>
          <w:u w:color="000000" w:themeColor="text1"/>
        </w:rPr>
        <w:noBreakHyphen/>
        <w:t>740 OF THE 1976 CODE, RELATING TO TESTING FOR HEPATITIS B AND HIV FOR OFFENDERS AND VICTIMS OF CERTAIN CRIMES, TO BRING THE PROVISIONS INTO COMPLIANCE WITH THE FEDERAL VIOLENCE AGAINST WOMEN ACT; TO AMEND CHAPTER 3, TITLE 16, BY ADDING SECTION 16</w:t>
      </w:r>
      <w:r>
        <w:rPr>
          <w:rFonts w:eastAsia="Times New Roman"/>
          <w:color w:val="000000" w:themeColor="text1"/>
          <w:u w:color="000000" w:themeColor="text1"/>
        </w:rPr>
        <w:noBreakHyphen/>
        <w:t>3</w:t>
      </w:r>
      <w:r>
        <w:rPr>
          <w:rFonts w:eastAsia="Times New Roman"/>
          <w:color w:val="000000" w:themeColor="text1"/>
          <w:u w:color="000000" w:themeColor="text1"/>
        </w:rPr>
        <w:noBreakHyphen/>
        <w:t>750, RELATING REQUIRING VICTIMS OF CERTAIN CRIMES TO SUBMIT TO POLYGRAPH EXAMINATIONS, TO MANDATE THE INVESTIGATIVE AND PROSECUTORIAL PROCEDURES OF CERTAIN CRIMES IN SOUTH CAROLINA COMPLY WITH THE FEDERAL VIOLENCE AGAINST WOMEN ACT; TO AMEND SECTION 16</w:t>
      </w:r>
      <w:r>
        <w:rPr>
          <w:rFonts w:eastAsia="Times New Roman"/>
          <w:color w:val="000000" w:themeColor="text1"/>
          <w:u w:color="000000" w:themeColor="text1"/>
        </w:rPr>
        <w:noBreakHyphen/>
        <w:t>3</w:t>
      </w:r>
      <w:r>
        <w:rPr>
          <w:rFonts w:eastAsia="Times New Roman"/>
          <w:color w:val="000000" w:themeColor="text1"/>
          <w:u w:color="000000" w:themeColor="text1"/>
        </w:rPr>
        <w:noBreakHyphen/>
        <w:t>1350, RELATING COST OF MEDICOLEGAL EXAM FOR VICTIMS OF CERTAIN CRIMES, TO PREVENT THE VICTIM OF CERTAIN CRIMES FROM BEARING THE COST OF THE EXAM AS REQUIRED BY THE FEDERAL VIOLENCE AGAINST WOMEN ACT; TO AMEND SECTION 20</w:t>
      </w:r>
      <w:r>
        <w:rPr>
          <w:rFonts w:eastAsia="Times New Roman"/>
          <w:color w:val="000000" w:themeColor="text1"/>
          <w:u w:color="000000" w:themeColor="text1"/>
        </w:rPr>
        <w:noBreakHyphen/>
        <w:t>4</w:t>
      </w:r>
      <w:r>
        <w:rPr>
          <w:rFonts w:eastAsia="Times New Roman"/>
          <w:color w:val="000000" w:themeColor="text1"/>
          <w:u w:color="000000" w:themeColor="text1"/>
        </w:rPr>
        <w:noBreakHyphen/>
        <w:t>60, RELATING TO THE CONTENT OF ORDERS OF PROTECTION, TO BRING THE PROVISIONS INTO COMPLIANCE WITH THE FEDERAL VIOLENCE AGAINST WOMEN ACT; TO AMEND CHAPTER 25, TITLE 16 OF THE 1976 CODE, BY ADDING SECTION 16</w:t>
      </w:r>
      <w:r>
        <w:rPr>
          <w:rFonts w:eastAsia="Times New Roman"/>
          <w:color w:val="000000" w:themeColor="text1"/>
          <w:u w:color="000000" w:themeColor="text1"/>
        </w:rPr>
        <w:noBreakHyphen/>
        <w:t>25</w:t>
      </w:r>
      <w:r>
        <w:rPr>
          <w:rFonts w:eastAsia="Times New Roman"/>
          <w:color w:val="000000" w:themeColor="text1"/>
          <w:u w:color="000000" w:themeColor="text1"/>
        </w:rPr>
        <w:noBreakHyphen/>
        <w:t>30, RELATING TO OFFENDERS CONVICTED OF CERTAIN CRIMES, TO REQUIRE NOTIFICATION OF FEDERAL LAW BE PROVIDED UPON CONVICTION AS REQUIRED BY THE FEDERAL VIOLENCE AGAINST WOMEN ACT; AND TO AMEND SECTION 16</w:t>
      </w:r>
      <w:r>
        <w:rPr>
          <w:rFonts w:eastAsia="Times New Roman"/>
          <w:color w:val="000000" w:themeColor="text1"/>
          <w:u w:color="000000" w:themeColor="text1"/>
        </w:rPr>
        <w:noBreakHyphen/>
        <w:t>3</w:t>
      </w:r>
      <w:r>
        <w:rPr>
          <w:rFonts w:eastAsia="Times New Roman"/>
          <w:color w:val="000000" w:themeColor="text1"/>
          <w:u w:color="000000" w:themeColor="text1"/>
        </w:rPr>
        <w:noBreakHyphen/>
        <w:t>1770, RELATING TO THE CONTENT OF RESTRAINING ORDERS, TO BRING THE PROVISIONS INTO COMPLIANCE WITH THE FEDERAL VIOLENCE AGAINST WOMEN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t>This act may be cited as the “Violence Against Women Federal Compliance Act” and is intended to bring South Carolina into compliance with the federal Violence Against Women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16</w:t>
      </w:r>
      <w:r>
        <w:rPr>
          <w:rFonts w:eastAsia="Times New Roman"/>
        </w:rPr>
        <w:noBreakHyphen/>
        <w:t>3</w:t>
      </w:r>
      <w:r>
        <w:rPr>
          <w:rFonts w:eastAsia="Times New Roman"/>
        </w:rPr>
        <w:noBreakHyphen/>
        <w:t>740(A), (B), and (C) and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16</w:t>
      </w:r>
      <w:r>
        <w:rPr>
          <w:rFonts w:eastAsia="Times New Roman"/>
        </w:rPr>
        <w:noBreakHyphen/>
        <w:t>3</w:t>
      </w:r>
      <w:r>
        <w:rPr>
          <w:rFonts w:eastAsia="Times New Roman"/>
        </w:rPr>
        <w:noBreakHyphen/>
        <w:t>740.</w:t>
      </w:r>
      <w:r>
        <w:rPr>
          <w:rFonts w:eastAsia="Times New Roman"/>
        </w:rPr>
        <w:tab/>
      </w:r>
      <w:r>
        <w:rPr>
          <w:rFonts w:eastAsia="Times New Roman"/>
        </w:rPr>
        <w:tab/>
      </w:r>
      <w:r>
        <w:rPr>
          <w:rFonts w:eastAsia="Times New Roman"/>
          <w:szCs w:val="24"/>
        </w:rPr>
        <w:t>(A)</w:t>
      </w:r>
      <w:r>
        <w:rPr>
          <w:rFonts w:eastAsia="Times New Roman"/>
          <w:szCs w:val="24"/>
        </w:rPr>
        <w:tab/>
        <w:t xml:space="preserve">For purposes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‘Body fluid’ means blood, amniotic fluid, pericardial fluid, pleural fluid, synovial fluid, cerebrospinal fluid, semen or vaginal secretions, or any body fluid visibly contaminated with blood.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 xml:space="preserve">‘HIV’ means the human immunodeficiency virus.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 xml:space="preserve">‘Offender’ includes </w:t>
      </w:r>
      <w:r>
        <w:rPr>
          <w:rFonts w:eastAsia="Times New Roman"/>
          <w:strike/>
          <w:szCs w:val="24"/>
        </w:rPr>
        <w:t>a person under seventeen years of age</w:t>
      </w:r>
      <w:r>
        <w:rPr>
          <w:rFonts w:eastAsia="Times New Roman"/>
          <w:szCs w:val="24"/>
        </w:rPr>
        <w:t xml:space="preserve"> </w:t>
      </w:r>
      <w:r>
        <w:rPr>
          <w:rFonts w:eastAsia="Times New Roman"/>
          <w:szCs w:val="24"/>
          <w:u w:val="single"/>
        </w:rPr>
        <w:t>adults and juveniles</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 xml:space="preserve">Upon the request of a victim who has been exposed to body fluids during the commission of a criminal offense, or upon the request of </w:t>
      </w:r>
      <w:r>
        <w:rPr>
          <w:rFonts w:eastAsia="Times New Roman"/>
          <w:strike/>
          <w:szCs w:val="24"/>
        </w:rPr>
        <w:t>the legal guardian of</w:t>
      </w:r>
      <w:r>
        <w:rPr>
          <w:rFonts w:eastAsia="Times New Roman"/>
          <w:szCs w:val="24"/>
        </w:rPr>
        <w:t xml:space="preserve"> a victim who has been exposed to body fluids during the commission of a criminal offense</w:t>
      </w:r>
      <w:r>
        <w:rPr>
          <w:rFonts w:eastAsia="Times New Roman"/>
          <w:szCs w:val="24"/>
          <w:u w:val="single"/>
        </w:rPr>
        <w:t>, or the legal guardian of such a victim</w:t>
      </w:r>
      <w:r>
        <w:rPr>
          <w:rFonts w:eastAsia="Times New Roman"/>
          <w:szCs w:val="24"/>
        </w:rPr>
        <w:t xml:space="preserve">, the solicitor must, at any time after the offender is charged, or at any time after a petition has been filed against an offender in family court, petition the court to have the offender tested for Hepatitis B and HIV.  An offender must not be tested under this section for Hepatitis B and HIV without a court order.  To obtain a court order, the solicitor must demonstrate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the victim or the victim’s legal guardian requested the tests;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 xml:space="preserve">there is probable cause that the offender committed the offense;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 xml:space="preserve">there is probable cause that during the commission of the offense there was a risk that body fluids were transmitted from one person to another;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(4)</w:t>
      </w:r>
      <w:r>
        <w:rPr>
          <w:rFonts w:eastAsia="Times New Roman"/>
          <w:szCs w:val="24"/>
        </w:rPr>
        <w:tab/>
        <w:t xml:space="preserve">the offender has received notice of the petition and notice of his right to have counsel represent him at a hearing.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 xml:space="preserve">The results of the tests must be kept confidential and disclosed only to the solicitor who obtained the court order.  The solicitor shall then notify only those persons designated in subsection (C).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t>(C)</w:t>
      </w:r>
      <w:r>
        <w:rPr>
          <w:rFonts w:eastAsia="Times New Roman"/>
          <w:szCs w:val="24"/>
        </w:rPr>
        <w:tab/>
        <w:t xml:space="preserve">The tests must be administered by the Department of Health and Environmental Control through the local county health department or the medical professional at the state or local detention facility where the offender is imprisoned or detained.  </w:t>
      </w:r>
      <w:r>
        <w:rPr>
          <w:rFonts w:eastAsia="Times New Roman"/>
          <w:strike/>
          <w:szCs w:val="24"/>
        </w:rPr>
        <w:t>If the tests are performed prior to conviction or adjudication, the results of the tests must be reported only to the solicitor who obtained the court order.</w:t>
      </w:r>
      <w:r>
        <w:rPr>
          <w:rFonts w:eastAsia="Times New Roman"/>
          <w:szCs w:val="24"/>
        </w:rPr>
        <w:t xml:space="preserve">  The solicitor shall notify the following persons of the tests results: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the victim or the legal guardian of a victim who is a minor or is mentally retarded or mentally incapacitated;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 xml:space="preserve">the victim’s attorney;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 xml:space="preserve">the offender and a juvenile offender’s parent or guardian;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(4)</w:t>
      </w:r>
      <w:r>
        <w:rPr>
          <w:rFonts w:eastAsia="Times New Roman"/>
          <w:szCs w:val="24"/>
        </w:rPr>
        <w:tab/>
        <w:t xml:space="preserve">the offender’s attorney.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The results of the tests shall be provided to the designated recipients with the following disclaimer:  ‘The tests were conducted in a medically approved manner, but tests cannot determine infection by Hepatitis B or HIV</w:t>
      </w:r>
      <w:r>
        <w:rPr>
          <w:rFonts w:eastAsia="Times New Roman"/>
        </w:rPr>
        <w:t xml:space="preserve"> </w:t>
      </w:r>
      <w:r>
        <w:rPr>
          <w:rFonts w:eastAsia="Times New Roman"/>
          <w:szCs w:val="24"/>
        </w:rPr>
        <w:t>with absolute accuracy.  Additionally, the testing does not determine exposure to</w:t>
      </w:r>
      <w:r>
        <w:rPr>
          <w:rFonts w:eastAsia="Times New Roman"/>
          <w:szCs w:val="24"/>
          <w:u w:val="single"/>
        </w:rPr>
        <w:t>,</w:t>
      </w:r>
      <w:r>
        <w:rPr>
          <w:rFonts w:eastAsia="Times New Roman"/>
          <w:szCs w:val="24"/>
        </w:rPr>
        <w:t xml:space="preserve"> or infection</w:t>
      </w:r>
      <w:r>
        <w:rPr>
          <w:rFonts w:eastAsia="Times New Roman"/>
          <w:szCs w:val="24"/>
          <w:u w:val="single"/>
        </w:rPr>
        <w:t>,</w:t>
      </w:r>
      <w:r>
        <w:rPr>
          <w:rFonts w:eastAsia="Times New Roman"/>
          <w:szCs w:val="24"/>
        </w:rPr>
        <w:t xml:space="preserve"> by other sexually transmitted diseases.  Persons receiving the tests results should continue to monitor their own health, seek retesting in approximately six months, and should consult a physician as appropriate’.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 xml:space="preserve">The solicitor also shall provide to the state or local correctional facility where the offender is imprisoned or detained and the Department of Health and Environmental Control the test results for HIV and Hepatitis B which indicate that the offender is infected with the disease.  The state or local correctional facility where the offender is imprisoned or detained shall use this information solely for the purpose of providing medical treatment to the offender while the offender is imprisoned or detained.  The State shall pay for the tests.  If the offender is subsequently convicted or adjudicated delinquent, the offender or the parents of an adjudicated offender must reimburse the State for the costs of the tests unless the offender or the parents of the adjudicated offender are determined to be indigent.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If the tests given pursuant to this section indicate infection by Hepatitis B or HIV, the Department of Health and Environmental Control shall be provided with all tests results and must provide counseling to the offender regarding the disease, syndrome, or virus.  The Department of Health and Environmental Control must</w:t>
      </w:r>
      <w:r>
        <w:rPr>
          <w:rFonts w:eastAsia="Times New Roman"/>
          <w:strike/>
          <w:szCs w:val="24"/>
        </w:rPr>
        <w:t xml:space="preserve"> also</w:t>
      </w:r>
      <w:r>
        <w:rPr>
          <w:rFonts w:eastAsia="Times New Roman"/>
          <w:szCs w:val="24"/>
        </w:rPr>
        <w:t xml:space="preserve"> provide </w:t>
      </w:r>
      <w:r>
        <w:rPr>
          <w:rFonts w:eastAsia="Times New Roman"/>
          <w:strike/>
          <w:szCs w:val="24"/>
        </w:rPr>
        <w:t>testing and</w:t>
      </w:r>
      <w:r>
        <w:rPr>
          <w:rFonts w:eastAsia="Times New Roman"/>
          <w:szCs w:val="24"/>
        </w:rPr>
        <w:t xml:space="preserve"> counseling for the victim</w:t>
      </w:r>
      <w:r>
        <w:rPr>
          <w:rFonts w:eastAsia="Times New Roman"/>
          <w:szCs w:val="24"/>
          <w:u w:val="single"/>
        </w:rPr>
        <w:t xml:space="preserve">, </w:t>
      </w:r>
      <w:r>
        <w:rPr>
          <w:rFonts w:eastAsia="Times New Roman"/>
          <w:u w:val="single"/>
        </w:rPr>
        <w:t>advise the victim of available medical treatment options</w:t>
      </w:r>
      <w:r>
        <w:rPr>
          <w:rFonts w:eastAsia="Times New Roman"/>
          <w:szCs w:val="24"/>
        </w:rPr>
        <w:t xml:space="preserve">, </w:t>
      </w:r>
      <w:r>
        <w:rPr>
          <w:rFonts w:eastAsia="Times New Roman"/>
          <w:strike/>
          <w:szCs w:val="24"/>
        </w:rPr>
        <w:t xml:space="preserve">at the victim’s </w:t>
      </w:r>
      <w:r>
        <w:rPr>
          <w:rFonts w:eastAsia="Times New Roman"/>
          <w:strike/>
          <w:szCs w:val="24"/>
        </w:rPr>
        <w:lastRenderedPageBreak/>
        <w:t>request and referral</w:t>
      </w:r>
      <w:r>
        <w:rPr>
          <w:rFonts w:eastAsia="Times New Roman"/>
          <w:szCs w:val="24"/>
        </w:rPr>
        <w:t xml:space="preserve"> </w:t>
      </w:r>
      <w:r>
        <w:rPr>
          <w:rFonts w:eastAsia="Times New Roman"/>
          <w:szCs w:val="24"/>
          <w:u w:val="single"/>
        </w:rPr>
        <w:t>refer the victim to</w:t>
      </w:r>
      <w:r>
        <w:rPr>
          <w:rFonts w:eastAsia="Times New Roman"/>
          <w:szCs w:val="24"/>
        </w:rPr>
        <w:t xml:space="preserve"> </w:t>
      </w:r>
      <w:r>
        <w:rPr>
          <w:rFonts w:eastAsia="Times New Roman"/>
          <w:strike/>
          <w:szCs w:val="24"/>
        </w:rPr>
        <w:t>for</w:t>
      </w:r>
      <w:r>
        <w:rPr>
          <w:rFonts w:eastAsia="Times New Roman"/>
          <w:szCs w:val="24"/>
        </w:rPr>
        <w:t xml:space="preserve"> appropriate health care and support services</w:t>
      </w:r>
      <w:r>
        <w:rPr>
          <w:rFonts w:eastAsia="Times New Roman"/>
          <w:szCs w:val="24"/>
          <w:u w:val="single"/>
        </w:rPr>
        <w:t>, and, at the request of the victim or the legal guardian of a victim, test the victim for HIV and Hepatitis B</w:t>
      </w:r>
      <w:r>
        <w:rPr>
          <w:rFonts w:eastAsia="Times New Roman"/>
          <w:u w:val="single"/>
        </w:rPr>
        <w:t xml:space="preserve"> and provide post</w:t>
      </w:r>
      <w:r>
        <w:rPr>
          <w:rFonts w:eastAsia="Times New Roman"/>
          <w:u w:val="single"/>
        </w:rPr>
        <w:noBreakHyphen/>
        <w:t>testing counseling to the victim</w:t>
      </w:r>
      <w:r>
        <w:rPr>
          <w:rFonts w:eastAsia="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Chapter 3, Title 16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w:t>
      </w:r>
      <w:r>
        <w:rPr>
          <w:rFonts w:eastAsia="Times New Roman"/>
        </w:rPr>
        <w:noBreakHyphen/>
        <w:t>3</w:t>
      </w:r>
      <w:r>
        <w:rPr>
          <w:rFonts w:eastAsia="Times New Roman"/>
        </w:rPr>
        <w:noBreakHyphen/>
        <w:t>750.</w:t>
      </w:r>
      <w:r>
        <w:rPr>
          <w:rFonts w:eastAsia="Times New Roman"/>
        </w:rPr>
        <w:tab/>
        <w:t>(A)</w:t>
      </w:r>
      <w:r>
        <w:rPr>
          <w:rFonts w:eastAsia="Times New Roman"/>
        </w:rPr>
        <w:tab/>
        <w:t>No law enforcement officer, prosecuting officer, or other governmental official shall ask or require an adult, youth, or child victim of an alleged criminal sexual conduct offense as defined under federal, tribal, state, territorial, or local law to submit to a polygraph examination or other truth telling device.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refusal of a victim to submit to an examination described in subsection (A) of this section shall not prevent the investigation, charging, or prosecution of the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16</w:t>
      </w:r>
      <w:r>
        <w:rPr>
          <w:rFonts w:eastAsia="Times New Roman"/>
        </w:rPr>
        <w:noBreakHyphen/>
        <w:t>3</w:t>
      </w:r>
      <w:r>
        <w:rPr>
          <w:rFonts w:eastAsia="Times New Roman"/>
        </w:rPr>
        <w:noBreakHyphen/>
        <w:t>1350(A) and (B)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w:t>
      </w:r>
      <w:r>
        <w:rPr>
          <w:rFonts w:eastAsia="Times New Roman"/>
          <w:szCs w:val="24"/>
        </w:rPr>
        <w:t>(A)</w:t>
      </w:r>
      <w:r>
        <w:rPr>
          <w:rFonts w:eastAsia="Times New Roman"/>
          <w:szCs w:val="24"/>
        </w:rPr>
        <w:tab/>
        <w:t xml:space="preserve">The State must ensure that a victim of criminal sexual conduct in any degree, criminal sexual conduct with a minor in any degree, or child sexual abuse must not bear the cost of his or her routine medicolegal exam following the assault </w:t>
      </w:r>
      <w:r>
        <w:rPr>
          <w:rFonts w:eastAsia="Times New Roman"/>
          <w:strike/>
          <w:szCs w:val="24"/>
        </w:rPr>
        <w:t>if the victim has filed an incident report with a law enforcement agency</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These exams must be standardized relevant to medical treatment and to gathering evidence from the body of the victim and must be based on and meet minimum standards for rape exam protocol as developed by the South Carolina Law Enforcement Division, the South Carolina Hospital Association, and the Governor’s Office Division of Victim Assistance with production costs to be paid from funds appropriated for the Victim’s Compensation Fund.  These exams must include treatment for</w:t>
      </w:r>
      <w:r>
        <w:rPr>
          <w:rFonts w:eastAsia="Times New Roman"/>
          <w:strike/>
          <w:szCs w:val="24"/>
        </w:rPr>
        <w:t xml:space="preserve"> venereal disease</w:t>
      </w:r>
      <w:r>
        <w:rPr>
          <w:rFonts w:eastAsia="Times New Roman"/>
          <w:szCs w:val="24"/>
        </w:rPr>
        <w:t xml:space="preserve"> </w:t>
      </w:r>
      <w:r>
        <w:rPr>
          <w:rFonts w:eastAsia="Times New Roman"/>
          <w:szCs w:val="24"/>
          <w:u w:val="single"/>
        </w:rPr>
        <w:t>sexually transmitted diseases</w:t>
      </w:r>
      <w:r>
        <w:rPr>
          <w:rFonts w:eastAsia="Times New Roman"/>
          <w:szCs w:val="24"/>
        </w:rPr>
        <w:t xml:space="preserve">,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w:t>
      </w:r>
      <w:r>
        <w:rPr>
          <w:rFonts w:eastAsia="Times New Roman"/>
          <w:szCs w:val="24"/>
        </w:rPr>
        <w:lastRenderedPageBreak/>
        <w:t>providing sexual assault exams must use the standardized protocol described above.”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20</w:t>
      </w:r>
      <w:r>
        <w:rPr>
          <w:rFonts w:eastAsia="Times New Roman"/>
        </w:rPr>
        <w:noBreakHyphen/>
        <w:t>4</w:t>
      </w:r>
      <w:r>
        <w:rPr>
          <w:rFonts w:eastAsia="Times New Roman"/>
        </w:rPr>
        <w:noBreakHyphen/>
        <w:t>60(B)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 xml:space="preserve">Every order of protection issued pursuant to this chapter shall conspicuously bear the following language: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‘Violation of this order is a criminal offense punishable by thirty days in jail or a fine of two hundred dollars or may constitute contempt of court punishable by up to one year in jail and/or a fine not to exceed fifteen hundred dollars.’; </w:t>
      </w:r>
      <w:r>
        <w:rPr>
          <w:rFonts w:eastAsia="Times New Roman"/>
          <w:strike/>
          <w:szCs w:val="24"/>
        </w:rPr>
        <w:t>and</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u w:val="single"/>
        </w:rPr>
      </w:pPr>
      <w:r>
        <w:rPr>
          <w:rFonts w:eastAsia="Times New Roman"/>
          <w:szCs w:val="24"/>
        </w:rPr>
        <w:tab/>
      </w:r>
      <w:r>
        <w:rPr>
          <w:rFonts w:eastAsia="Times New Roman"/>
          <w:szCs w:val="24"/>
        </w:rPr>
        <w:tab/>
        <w:t>(2)</w:t>
      </w:r>
      <w:r>
        <w:rPr>
          <w:rFonts w:eastAsia="Times New Roman"/>
          <w:szCs w:val="24"/>
        </w:rPr>
        <w:tab/>
        <w:t>‘Pursuant to Section 16</w:t>
      </w:r>
      <w:r>
        <w:rPr>
          <w:rFonts w:eastAsia="Times New Roman"/>
          <w:szCs w:val="24"/>
        </w:rPr>
        <w:noBreakHyphen/>
        <w:t>25</w:t>
      </w:r>
      <w:r>
        <w:rPr>
          <w:rFonts w:eastAsia="Times New Roman"/>
          <w:szCs w:val="24"/>
        </w:rPr>
        <w:noBreakHyphen/>
        <w:t>125 of the South Carolina Code of Laws,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Pr>
          <w:rFonts w:eastAsia="Times New Roman"/>
          <w:szCs w:val="24"/>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Pr>
          <w:rFonts w:eastAsia="Times New Roman"/>
          <w:szCs w:val="24"/>
        </w:rPr>
        <w:tab/>
      </w:r>
      <w:r>
        <w:rPr>
          <w:rFonts w:eastAsia="Times New Roman"/>
          <w:szCs w:val="24"/>
        </w:rPr>
        <w:tab/>
      </w:r>
      <w:r>
        <w:rPr>
          <w:rFonts w:eastAsia="Times New Roman"/>
          <w:szCs w:val="24"/>
          <w:u w:val="single"/>
        </w:rPr>
        <w:t>(3)</w:t>
      </w:r>
      <w:r>
        <w:rPr>
          <w:rFonts w:eastAsia="Times New Roman"/>
          <w:szCs w:val="24"/>
        </w:rPr>
        <w:tab/>
      </w:r>
      <w:r>
        <w:rPr>
          <w:rFonts w:eastAsia="Times New Roman"/>
          <w:szCs w:val="24"/>
          <w:u w:val="single"/>
        </w:rPr>
        <w:t xml:space="preserve">‘Pursuant to 18 USC Section 922, it is unlawful for a person who is subject to an order of protection to </w:t>
      </w:r>
      <w:r>
        <w:rPr>
          <w:rFonts w:eastAsia="Times New Roman"/>
          <w:szCs w:val="20"/>
          <w:u w:val="single"/>
        </w:rPr>
        <w:t>ship, transport, possess, or receive a firearm or ammunition.’</w:t>
      </w:r>
      <w:r>
        <w:rPr>
          <w:rFonts w:eastAsia="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Chapter 25, Title 16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ab/>
        <w:t>“Section 16</w:t>
      </w:r>
      <w:r>
        <w:rPr>
          <w:rFonts w:eastAsia="Times New Roman"/>
        </w:rPr>
        <w:noBreakHyphen/>
        <w:t>25</w:t>
      </w:r>
      <w:r>
        <w:rPr>
          <w:rFonts w:eastAsia="Times New Roman"/>
        </w:rPr>
        <w:noBreakHyphen/>
        <w:t>30.</w:t>
      </w:r>
      <w:r>
        <w:rPr>
          <w:rFonts w:eastAsia="Times New Roman"/>
        </w:rPr>
        <w:tab/>
      </w:r>
      <w:r>
        <w:t>At the time of conviction, the court must deliver, to any person convicted of violating the provisions of Section 16</w:t>
      </w:r>
      <w:r>
        <w:noBreakHyphen/>
        <w:t>25</w:t>
      </w:r>
      <w:r>
        <w:noBreakHyphen/>
        <w:t>20 or 16</w:t>
      </w:r>
      <w:r>
        <w:noBreakHyphen/>
        <w:t>25</w:t>
      </w:r>
      <w:r>
        <w:noBreakHyphen/>
        <w:t>65, a written form which conspicuously bears the following language:  ‘Pursuant to 18 USC Section 922, i</w:t>
      </w:r>
      <w:r>
        <w:rPr>
          <w:rFonts w:eastAsia="Times New Roman"/>
          <w:szCs w:val="20"/>
        </w:rPr>
        <w:t>t is unlawful for a person convicted of a violation of Section 16</w:t>
      </w:r>
      <w:r>
        <w:rPr>
          <w:rFonts w:eastAsia="Times New Roman"/>
          <w:szCs w:val="20"/>
        </w:rPr>
        <w:noBreakHyphen/>
        <w:t>25</w:t>
      </w:r>
      <w:r>
        <w:rPr>
          <w:rFonts w:eastAsia="Times New Roman"/>
          <w:szCs w:val="20"/>
        </w:rPr>
        <w:noBreakHyphen/>
        <w:t>20 or 16</w:t>
      </w:r>
      <w:r>
        <w:rPr>
          <w:rFonts w:eastAsia="Times New Roman"/>
          <w:szCs w:val="20"/>
        </w:rPr>
        <w:noBreakHyphen/>
        <w:t>25</w:t>
      </w:r>
      <w:r>
        <w:rPr>
          <w:rFonts w:eastAsia="Times New Roman"/>
          <w:szCs w:val="20"/>
        </w:rPr>
        <w:noBreakHyphen/>
        <w:t>65 to ship, transport, possess, or receive a firearm or ammunition.’”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lastRenderedPageBreak/>
        <w:t>SECTION</w:t>
      </w:r>
      <w:r>
        <w:rPr>
          <w:rFonts w:eastAsia="Times New Roman"/>
          <w:szCs w:val="20"/>
        </w:rPr>
        <w:tab/>
        <w:t>7.</w:t>
      </w:r>
      <w:r>
        <w:rPr>
          <w:rFonts w:eastAsia="Times New Roman"/>
          <w:szCs w:val="20"/>
        </w:rPr>
        <w:tab/>
        <w:t>Section 16</w:t>
      </w:r>
      <w:r>
        <w:rPr>
          <w:rFonts w:eastAsia="Times New Roman"/>
          <w:szCs w:val="20"/>
        </w:rPr>
        <w:noBreakHyphen/>
        <w:t>3</w:t>
      </w:r>
      <w:r>
        <w:rPr>
          <w:rFonts w:eastAsia="Times New Roman"/>
          <w:szCs w:val="20"/>
        </w:rPr>
        <w:noBreakHyphen/>
        <w:t>1770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r>
        <w:rPr>
          <w:rFonts w:eastAsia="Times New Roman"/>
          <w:szCs w:val="24"/>
        </w:rPr>
        <w:tab/>
        <w:t>“Section 16</w:t>
      </w:r>
      <w:r>
        <w:rPr>
          <w:rFonts w:eastAsia="Times New Roman"/>
          <w:szCs w:val="24"/>
        </w:rPr>
        <w:noBreakHyphen/>
        <w:t>3</w:t>
      </w:r>
      <w:r>
        <w:rPr>
          <w:rFonts w:eastAsia="Times New Roman"/>
          <w:szCs w:val="24"/>
        </w:rPr>
        <w:noBreakHyphen/>
        <w:t>1770.</w:t>
      </w:r>
      <w:r>
        <w:rPr>
          <w:rFonts w:eastAsia="Times New Roman"/>
          <w:szCs w:val="24"/>
        </w:rPr>
        <w:tab/>
        <w:t>(A)</w:t>
      </w:r>
      <w:r>
        <w:rPr>
          <w:rFonts w:eastAsia="Times New Roman"/>
          <w:szCs w:val="24"/>
        </w:rPr>
        <w:tab/>
      </w:r>
      <w:r>
        <w:rPr>
          <w:rFonts w:eastAsia="Times New Roman"/>
          <w:strike/>
          <w:szCs w:val="24"/>
        </w:rPr>
        <w:t xml:space="preserve">A temporary restraining order granted without notice must be endorsed with the date and hour of issuance and entered of record with the magistrates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trike/>
          <w:szCs w:val="24"/>
        </w:rPr>
        <w:t>(B)</w:t>
      </w:r>
      <w:r>
        <w:rPr>
          <w:rFonts w:eastAsia="Times New Roman"/>
          <w:szCs w:val="24"/>
        </w:rPr>
        <w:tab/>
        <w:t xml:space="preserve">The terms of the restraining order must protect the plaintiff and may include temporarily enjoining the defendant from: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abusing, threatening to abuse, or molesting the plaintiff or members of the plaintiff’s family;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 xml:space="preserve">entering or attempting to enter the plaintiff’s place of residence, employment, education, or other location;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 xml:space="preserve">communicating or attempting to communicate with the plaintiff in a way that would violate the provisions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w:t>
      </w:r>
      <w:r>
        <w:rPr>
          <w:rFonts w:eastAsia="Times New Roman"/>
          <w:strike/>
          <w:szCs w:val="24"/>
        </w:rPr>
        <w:t>C</w:t>
      </w:r>
      <w:r>
        <w:rPr>
          <w:rFonts w:eastAsia="Times New Roman"/>
          <w:szCs w:val="24"/>
          <w:u w:val="single"/>
        </w:rPr>
        <w:t>B</w:t>
      </w:r>
      <w:r>
        <w:rPr>
          <w:rFonts w:eastAsia="Times New Roman"/>
          <w:szCs w:val="24"/>
        </w:rPr>
        <w:t>)</w:t>
      </w:r>
      <w:r>
        <w:rPr>
          <w:rFonts w:eastAsia="Times New Roman"/>
          <w:szCs w:val="24"/>
        </w:rPr>
        <w:tab/>
        <w:t xml:space="preserve">A restraining order issued pursuant to this article conspicuously must bear the following language: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‘Violation of this order is a criminal offense punishable by thirty days in jail, a fine of five hundred dollars, or both.’; </w:t>
      </w:r>
      <w:r>
        <w:rPr>
          <w:rFonts w:eastAsia="Times New Roman"/>
          <w:strike/>
          <w:szCs w:val="24"/>
        </w:rPr>
        <w:t>and</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Pr>
          <w:rFonts w:eastAsia="Times New Roman"/>
          <w:szCs w:val="24"/>
        </w:rPr>
        <w:tab/>
        <w:t>(2)</w:t>
      </w:r>
      <w:r>
        <w:rPr>
          <w:rFonts w:eastAsia="Times New Roman"/>
          <w:szCs w:val="24"/>
        </w:rPr>
        <w:tab/>
        <w:t>‘Pursuant to Section 16</w:t>
      </w:r>
      <w:r>
        <w:rPr>
          <w:rFonts w:eastAsia="Times New Roman"/>
          <w:szCs w:val="24"/>
        </w:rPr>
        <w:noBreakHyphen/>
        <w:t>25</w:t>
      </w:r>
      <w:r>
        <w:rPr>
          <w:rFonts w:eastAsia="Times New Roman"/>
          <w:szCs w:val="24"/>
        </w:rPr>
        <w:noBreakHyphen/>
        <w:t>125,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Pr>
          <w:rFonts w:eastAsia="Times New Roman"/>
          <w:strike/>
          <w:szCs w:val="24"/>
        </w:rPr>
        <w:t>.</w:t>
      </w:r>
      <w:r>
        <w:rPr>
          <w:rFonts w:eastAsia="Times New Roman"/>
          <w:szCs w:val="24"/>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4"/>
        </w:rPr>
        <w:tab/>
      </w:r>
      <w:r>
        <w:rPr>
          <w:rFonts w:eastAsia="Times New Roman"/>
          <w:szCs w:val="24"/>
        </w:rPr>
        <w:tab/>
      </w:r>
      <w:r>
        <w:rPr>
          <w:rFonts w:eastAsia="Times New Roman"/>
          <w:szCs w:val="24"/>
          <w:u w:val="single"/>
        </w:rPr>
        <w:t>(3)</w:t>
      </w:r>
      <w:r>
        <w:rPr>
          <w:rFonts w:eastAsia="Times New Roman"/>
          <w:szCs w:val="24"/>
        </w:rPr>
        <w:tab/>
      </w:r>
      <w:r>
        <w:rPr>
          <w:rFonts w:eastAsia="Times New Roman"/>
          <w:szCs w:val="24"/>
          <w:u w:val="single"/>
        </w:rPr>
        <w:t xml:space="preserve">‘Pursuant to 18 USC Section 922, it is unlawful for a person who is subject to a restraining order to </w:t>
      </w:r>
      <w:r>
        <w:rPr>
          <w:rFonts w:eastAsia="Times New Roman"/>
          <w:szCs w:val="20"/>
          <w:u w:val="single"/>
        </w:rPr>
        <w:t>ship, transport, possess, or receive a firearm or ammunition if the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r>
      <w:r>
        <w:rPr>
          <w:rFonts w:eastAsia="Times New Roman"/>
          <w:szCs w:val="20"/>
        </w:rPr>
        <w:tab/>
      </w:r>
      <w:r>
        <w:rPr>
          <w:rFonts w:eastAsia="Times New Roman"/>
          <w:szCs w:val="20"/>
          <w:u w:val="single"/>
        </w:rPr>
        <w:t>(a)</w:t>
      </w:r>
      <w:r>
        <w:rPr>
          <w:rFonts w:eastAsia="Times New Roman"/>
          <w:szCs w:val="20"/>
        </w:rPr>
        <w:tab/>
      </w:r>
      <w:r>
        <w:rPr>
          <w:rFonts w:eastAsia="Times New Roman"/>
          <w:szCs w:val="20"/>
          <w:u w:val="single"/>
        </w:rPr>
        <w:t>was issued after a hearing of which such person received actual notice and had an opportunity to participate;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r>
      <w:r>
        <w:rPr>
          <w:rFonts w:eastAsia="Times New Roman"/>
          <w:szCs w:val="20"/>
        </w:rPr>
        <w:tab/>
      </w:r>
      <w:r>
        <w:rPr>
          <w:rFonts w:eastAsia="Times New Roman"/>
          <w:szCs w:val="20"/>
          <w:u w:val="single"/>
        </w:rPr>
        <w:t>(b)</w:t>
      </w:r>
      <w:r>
        <w:rPr>
          <w:rFonts w:eastAsia="Times New Roman"/>
          <w:szCs w:val="20"/>
        </w:rPr>
        <w:tab/>
      </w:r>
      <w:r>
        <w:rPr>
          <w:rFonts w:eastAsia="Times New Roman"/>
          <w:szCs w:val="20"/>
          <w:u w:val="single"/>
        </w:rPr>
        <w:t>restrains such person from harassing, stalking, or threatening an intimate partner of such person or child of such intimate partner or person or engaging in other conduct that would place an intimate partner in reasonable fear of bodily injury to the partner or child;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lastRenderedPageBreak/>
        <w:tab/>
      </w:r>
      <w:r>
        <w:rPr>
          <w:rFonts w:eastAsia="Times New Roman"/>
          <w:szCs w:val="20"/>
        </w:rPr>
        <w:tab/>
      </w:r>
      <w:r>
        <w:rPr>
          <w:rFonts w:eastAsia="Times New Roman"/>
          <w:szCs w:val="20"/>
        </w:rPr>
        <w:tab/>
      </w:r>
      <w:r>
        <w:rPr>
          <w:rFonts w:eastAsia="Times New Roman"/>
          <w:szCs w:val="20"/>
          <w:u w:val="single"/>
        </w:rPr>
        <w:t>(c)</w:t>
      </w:r>
      <w:r>
        <w:rPr>
          <w:rFonts w:eastAsia="Times New Roman"/>
          <w:szCs w:val="20"/>
        </w:rPr>
        <w:tab/>
      </w:r>
      <w:r>
        <w:rPr>
          <w:rFonts w:eastAsia="Times New Roman"/>
          <w:szCs w:val="20"/>
          <w:u w:val="single"/>
        </w:rPr>
        <w:t>includes a finding that such person represents a credible threat to the physical safety of such intimate partner or child, or by its terms explicitly prohibits the use, attempted use, or threatened use of physical force against such intimate partner or child that would reasonably be expected to cause bodily harm.’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rPr>
        <w:tab/>
        <w:t>(</w:t>
      </w:r>
      <w:r>
        <w:rPr>
          <w:rFonts w:eastAsia="Times New Roman"/>
          <w:strike/>
          <w:szCs w:val="24"/>
        </w:rPr>
        <w:t>D</w:t>
      </w:r>
      <w:r>
        <w:rPr>
          <w:rFonts w:eastAsia="Times New Roman"/>
          <w:szCs w:val="24"/>
          <w:u w:val="single"/>
        </w:rPr>
        <w:t>C</w:t>
      </w:r>
      <w:r>
        <w:rPr>
          <w:rFonts w:eastAsia="Times New Roman"/>
          <w:szCs w:val="24"/>
        </w:rPr>
        <w:t>)</w:t>
      </w:r>
      <w:r>
        <w:rPr>
          <w:rFonts w:eastAsia="Times New Roman"/>
          <w:szCs w:val="24"/>
        </w:rPr>
        <w:tab/>
        <w:t xml:space="preserve">A restraining order issued by a court may not contain the social security number of a party to the order and must contain as little identifying information as is necessary of the party it seeks to protect.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rPr>
        <w:tab/>
      </w:r>
      <w:r>
        <w:rPr>
          <w:rFonts w:eastAsia="Times New Roman"/>
          <w:szCs w:val="24"/>
          <w:u w:val="single"/>
        </w:rPr>
        <w:t>(D)</w:t>
      </w:r>
      <w:r>
        <w:rPr>
          <w:rFonts w:eastAsia="Times New Roman"/>
          <w:szCs w:val="24"/>
        </w:rPr>
        <w:tab/>
      </w:r>
      <w:r>
        <w:rPr>
          <w:rFonts w:eastAsia="Times New Roman"/>
          <w:szCs w:val="24"/>
          <w:u w:val="single"/>
        </w:rPr>
        <w:t>A temporary restraining order granted without notice must be endorsed with the date and hour of issuance and entered of record with the magistrates court.</w:t>
      </w:r>
      <w:r>
        <w:rPr>
          <w:rFonts w:eastAsia="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6241A1-B95F-4FAB-9D19-905475F6C3FE}"/>
    <w:embedBold r:id="rId2" w:fontKey="{793ECF9A-B95F-4CB4-B115-187693B2804E}"/>
  </w:font>
  <w:font w:name="Calibri">
    <w:panose1 w:val="020F0502020204030204"/>
    <w:charset w:val="00"/>
    <w:family w:val="swiss"/>
    <w:pitch w:val="variable"/>
    <w:sig w:usb0="A00002EF" w:usb1="4000207B" w:usb2="00000000" w:usb3="00000000" w:csb0="0000009F" w:csb1="00000000"/>
    <w:embedRegular r:id="rId3" w:fontKey="{CF38BF2C-3F76-47CE-B033-F2EF649E48B9}"/>
  </w:font>
  <w:font w:name="Tahoma">
    <w:panose1 w:val="020B0604030504040204"/>
    <w:charset w:val="00"/>
    <w:family w:val="swiss"/>
    <w:pitch w:val="variable"/>
    <w:sig w:usb0="61002A87" w:usb1="80000000" w:usb2="00000008" w:usb3="00000000" w:csb0="000101FF" w:csb1="00000000"/>
    <w:embedRegular r:id="rId4" w:fontKey="{0A3943E8-4170-445D-935A-C50A78F43319}"/>
  </w:font>
  <w:font w:name="Cambria">
    <w:panose1 w:val="02040503050406030204"/>
    <w:charset w:val="00"/>
    <w:family w:val="roman"/>
    <w:pitch w:val="variable"/>
    <w:sig w:usb0="A00002EF" w:usb1="4000004B" w:usb2="00000000" w:usb3="00000000" w:csb0="0000009F" w:csb1="00000000"/>
    <w:embedRegular r:id="rId5" w:fontKey="{07390070-CD75-4C28-A91E-036E884BFF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[512]</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0"/>
    <w:footnote w:id="1"/>
  </w:footnotePr>
  <w:endnotePr>
    <w:endnote w:id="0"/>
    <w:endnote w:id="1"/>
  </w:endnotePr>
  <w:compat/>
  <w:docVars>
    <w:docVar w:name="clipname" w:val="010VAWA.TCM.JL"/>
    <w:docVar w:name="CoverAttorneyInitials" w:val="TCM"/>
    <w:docVar w:name="CoverAttorneyLastName" w:val="Miles"/>
    <w:docVar w:name="CoverBillType" w:val="b"/>
    <w:docVar w:name="CoverSenator" w:val="JL"/>
    <w:docVar w:name="dvBillNumber" w:val="512"/>
    <w:docVar w:name="dvBillNumberPrefix" w:val="S. "/>
    <w:docVar w:name="dvOriginalBody" w:val="Senate"/>
    <w:docVar w:name="fulldraftpath" w:val="L:\S-RESMIN\DRAFTING\JL\010VAWA.TCM.JL.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2011</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cp:lastPrinted>2009-02-17T21:15:00Z</cp:lastPrinted>
  <dcterms:created xsi:type="dcterms:W3CDTF">2009-03-03T18:30:00Z</dcterms:created>
  <dcterms:modified xsi:type="dcterms:W3CDTF">2009-03-03T18:30:00Z</dcterms:modified>
</cp:coreProperties>
</file>