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LICENSING OF ONSITE WASTEWATER SYSTEM MASTER CONTRACTORS, DESIGNATED AS REGULATION DOCUMENT NUMBER 3210,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Licensing of Onsite Wastewater System Master Contractors, designated as Regulation Document Number 3210,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Department of Health and Environmental Control is creating a new regulation, entitled R.61</w:t>
      </w:r>
      <w:r>
        <w:noBreakHyphen/>
        <w:t>56.2, Licensing of Onsite Wastewater System Master Contractors. South Carolina Act No. 106, passed by the S.C. General Assembly in 2007, and codified at Section 44</w:t>
      </w:r>
      <w:r>
        <w:noBreakHyphen/>
        <w:t>55</w:t>
      </w:r>
      <w:r>
        <w:noBreakHyphen/>
        <w:t xml:space="preserve">827 of the S.C. Code of Laws, 1976, authorizes and requires the Department to promulgate a regulation that creates a tiered licensing program for onsite wastewater system contractors.  The Act requires that this regulation include eligibility criteria, </w:t>
      </w:r>
      <w:r>
        <w:lastRenderedPageBreak/>
        <w:t>monitoring, standards for education and training, bonding and insurance requirements, administrative and licensing fees, and enforcement guidelines and penalties. This regulation contains all elements specified and required by the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Staff initiated the statutory process for the promulgation of R.61</w:t>
      </w:r>
      <w:r>
        <w:noBreakHyphen/>
        <w:t xml:space="preserve">56.2 by publication of a Notice of Drafting in the State Register on January 25, 2008. Notice was also published on the Department’s website in its Regulation Development Update at </w:t>
      </w:r>
      <w:hyperlink r:id="rId7" w:history="1">
        <w:r>
          <w:rPr>
            <w:rStyle w:val="Hyperlink"/>
          </w:rPr>
          <w:t>www.scdhec.net/co/regs</w:t>
        </w:r>
      </w:hyperlink>
      <w:r>
        <w:t>.  Notice of Proposed Regulation was published in the State Register on March 28, 2008, and a Staff Informational Forum was conducted on April 25, 2008.  Comments received were considered in formulating the proposed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F6F1D9-82BC-4821-8818-1992E3DC2AAF}"/>
    <w:embedBold r:id="rId2" w:fontKey="{0170682D-35BB-4E71-A877-5E2D74ED9A83}"/>
  </w:font>
  <w:font w:name="Calibri">
    <w:panose1 w:val="020F0502020204030204"/>
    <w:charset w:val="00"/>
    <w:family w:val="swiss"/>
    <w:pitch w:val="variable"/>
    <w:sig w:usb0="A00002EF" w:usb1="4000207B" w:usb2="00000000" w:usb3="00000000" w:csb0="0000009F" w:csb1="00000000"/>
    <w:embedRegular r:id="rId3" w:fontKey="{6A559405-2EA9-4686-B097-D1F7B6A864E9}"/>
  </w:font>
  <w:font w:name="Tahoma">
    <w:panose1 w:val="020B0604030504040204"/>
    <w:charset w:val="00"/>
    <w:family w:val="swiss"/>
    <w:pitch w:val="variable"/>
    <w:sig w:usb0="61002A87" w:usb1="80000000" w:usb2="00000008" w:usb3="00000000" w:csb0="000101FF" w:csb1="00000000"/>
    <w:embedRegular r:id="rId4" w:fontKey="{CA628636-4BA9-4F34-887B-64074F45836B}"/>
  </w:font>
  <w:font w:name="Cambria">
    <w:panose1 w:val="02040503050406030204"/>
    <w:charset w:val="00"/>
    <w:family w:val="roman"/>
    <w:pitch w:val="variable"/>
    <w:sig w:usb0="A00002EF" w:usb1="4000004B" w:usb2="00000000" w:usb3="00000000" w:csb0="0000009F" w:csb1="00000000"/>
    <w:embedRegular r:id="rId5" w:fontKey="{B7FEDBB1-3E26-48AB-AA4C-5992246FA1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72AC09"/>
    <w:docVar w:name="CoverBillType" w:val="a"/>
    <w:docVar w:name="docpath" w:val="L:\Council\bills\MS\7272AC09.DOCX"/>
    <w:docVar w:name="dvBillNumber" w:val="548"/>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cdhec.net/co/reg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1827</Characters>
  <Application>Microsoft Office Word</Application>
  <DocSecurity>0</DocSecurity>
  <Lines>15</Lines>
  <Paragraphs>4</Paragraphs>
  <ScaleCrop>false</ScaleCrop>
  <Company> </Company>
  <LinksUpToDate>false</LinksUpToDate>
  <CharactersWithSpaces>2143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2009-03-05T20:22:00Z</cp:lastPrinted>
  <dcterms:created xsi:type="dcterms:W3CDTF">2009-03-10T16:28:00Z</dcterms:created>
  <dcterms:modified xsi:type="dcterms:W3CDTF">2009-03-10T16:28:00Z</dcterms:modified>
</cp:coreProperties>
</file>