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11</w:t>
      </w:r>
      <w:r>
        <w:noBreakHyphen/>
        <w:t>1950, CODE OF LAWS OF SOUTH CAROLINA, 1976, RELATING TO THE PURPOSE AND DUTIES OF THE STATE CHILD FATALITY COMMITTEE, SO AS TO PROVIDE THAT THE COMMITTEE MAY REQUEST THE DEPARTMENT OF SOCIAL SERVICES TO OPEN A CASE ON THE FAMILY WHERE THE FATALITY OCCURRED IF THE COMMITTEE SUSPECTS CRIMINAL DOMESTIC VIOLENCE, DRUG ABUSE, ABUSE, OR NEGLECT IN THE HOME AND CHILDREN CONTINUE TO LIVE IN THE HOME.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1950(B)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To achieve its purpose, the committee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meet with the department no later than one month after the department receives notification by the county coroner or medical examiner pursuant to Section 17</w:t>
      </w:r>
      <w:r>
        <w:rPr>
          <w:szCs w:val="24"/>
        </w:rPr>
        <w:noBreakHyphen/>
        <w:t>5</w:t>
      </w:r>
      <w:r>
        <w:rPr>
          <w:szCs w:val="24"/>
        </w:rPr>
        <w:noBreakHyphen/>
        <w:t xml:space="preserve">540 to review the investigation of the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undertake annual statistical studies of the incidences and causes of child fatalities in this State.  The studies shall include an analysis of community and public and private agency involvement with the decedents and their families before and subsequent to the deaths;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committee shall</w:t>
      </w:r>
      <w:r>
        <w:rPr>
          <w:szCs w:val="24"/>
        </w:rPr>
        <w:t xml:space="preserve"> consider training, including cross</w:t>
      </w:r>
      <w:r>
        <w:rPr>
          <w:szCs w:val="24"/>
        </w:rPr>
        <w:noBreakHyphen/>
        <w:t xml:space="preserve">agency training, consultation, technical assistance needs, and service gaps.  If the committee determines that changes to any statute, regulation, policy, or procedure is needed to decrease the incidence of preventable child deaths, the committee shall include </w:t>
      </w:r>
      <w:r>
        <w:rPr>
          <w:szCs w:val="24"/>
        </w:rPr>
        <w:lastRenderedPageBreak/>
        <w:t xml:space="preserve">proposals for changes to statutes, regulations, policies, and procedures in the committee’s annual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educate the public regarding the incidences and causes of child deaths, the public role in preventing these deaths, and specific steps the public can undertake to prevent child deaths.  The committee shall enlist the support of civic, philanthropic, and public service organizations in performing the committee’s education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develop and implement policies and procedures for its own governance and operation;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submit to the Governor and the General Assembly, an annual written report and any other reports prepared by the committee, including, but not limited to, the committee’s findings and recommendations.  Annual reports must be made available to the public</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u w:val="single"/>
        </w:rPr>
        <w:t>(7)</w:t>
      </w:r>
      <w:r>
        <w:rPr>
          <w:szCs w:val="24"/>
        </w:rPr>
        <w:tab/>
      </w:r>
      <w:r>
        <w:rPr>
          <w:szCs w:val="24"/>
          <w:u w:val="single"/>
        </w:rPr>
        <w:t>request, once a child fatality is reviewed and upon findings of the committee that there still exists suspicion of either criminal domestic violence, drug abuse, abuse, or neglect in the home of the fatality where young children continue to live, a case be opened or reopened by the Department of Social Services or another agency that serves children.  The findings of the committee must be treated as a suspected report of abuse or neglect as the committee considers necessary.  The committee may request a case be opened or reopened up to one year from the date the committee reviewed the case.  The Department of Social Services or another involved agency has forty</w:t>
      </w:r>
      <w:r>
        <w:rPr>
          <w:szCs w:val="24"/>
          <w:u w:val="single"/>
        </w:rPr>
        <w:noBreakHyphen/>
        <w:t>five days after the request is made to investigate and furnish the committee with a report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885471-8862-4FAC-B30C-E49298EB21A4}"/>
    <w:embedBold r:id="rId2" w:fontKey="{1E0CD86A-D430-4D1C-B1E0-0C3439FFE0E9}"/>
  </w:font>
  <w:font w:name="Calibri">
    <w:panose1 w:val="020F0502020204030204"/>
    <w:charset w:val="00"/>
    <w:family w:val="swiss"/>
    <w:pitch w:val="variable"/>
    <w:sig w:usb0="A00002EF" w:usb1="4000207B" w:usb2="00000000" w:usb3="00000000" w:csb0="0000009F" w:csb1="00000000"/>
    <w:embedRegular r:id="rId3" w:fontKey="{6BECCE1B-EF87-4EE7-8646-6B2E0B8A9F20}"/>
  </w:font>
  <w:font w:name="Cambria">
    <w:panose1 w:val="02040503050406030204"/>
    <w:charset w:val="00"/>
    <w:family w:val="roman"/>
    <w:pitch w:val="variable"/>
    <w:sig w:usb0="A00002EF" w:usb1="4000004B" w:usb2="00000000" w:usb3="00000000" w:csb0="0000009F" w:csb1="00000000"/>
    <w:embedRegular r:id="rId4" w:fontKey="{6C962958-0E39-43A9-97F9-3988E0AC55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34AC09"/>
    <w:docVar w:name="CoverBillType" w:val="b"/>
    <w:docVar w:name="docpath" w:val="L:\Council\bills\NBD\11334AC09.DOCX"/>
    <w:docVar w:name="dvBillNumber" w:val="554"/>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2650</Characters>
  <Application>Microsoft Office Word</Application>
  <DocSecurity>0</DocSecurity>
  <Lines>22</Lines>
  <Paragraphs>6</Paragraphs>
  <ScaleCrop>false</ScaleCrop>
  <Company> </Company>
  <LinksUpToDate>false</LinksUpToDate>
  <CharactersWithSpaces>3108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2009-03-10T14:08:00Z</cp:lastPrinted>
  <dcterms:created xsi:type="dcterms:W3CDTF">2009-03-10T16:38:00Z</dcterms:created>
  <dcterms:modified xsi:type="dcterms:W3CDTF">2009-03-10T16:38:00Z</dcterms:modified>
</cp:coreProperties>
</file>