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70.</w:t>
      </w:r>
      <w:r>
        <w:tab/>
      </w:r>
      <w:r>
        <w:tab/>
      </w:r>
      <w:r>
        <w:rPr>
          <w:u w:val="single"/>
        </w:rPr>
        <w:t>(A)</w:t>
      </w:r>
      <w:r>
        <w:tab/>
      </w:r>
      <w:r>
        <w:rPr>
          <w:rFonts w:eastAsiaTheme="minorHAnsi"/>
          <w:color w:val="000000" w:themeColor="text1"/>
          <w:szCs w:val="22"/>
          <w:u w:color="000000" w:themeColor="text1"/>
        </w:rPr>
        <w:t xml:space="preserve">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petition must be certified to the State Election Commission in the case of national, state, circuit, and multicounty district offices; with the county election commission in the case of </w:t>
      </w:r>
      <w:r>
        <w:rPr>
          <w:rFonts w:eastAsiaTheme="minorHAnsi"/>
          <w:color w:val="000000" w:themeColor="text1"/>
          <w:szCs w:val="22"/>
          <w:u w:color="000000" w:themeColor="text1"/>
        </w:rPr>
        <w:lastRenderedPageBreak/>
        <w:t>countywide or less than countywide offices with the exception of municipal offices; with the clerk of a municipality in case of a municipal office, and the certified petition shall constitute and be kept as a public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No qualified elector who voted in a primary election is eligible to sign a petition for a candidate to run for an office to be filled at the general election following that primary.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qualified elector otherwise eligible to sign a petition for a candidate to appear on a general election ballot may not sign more than one petition per general election per office.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75.</w:t>
      </w:r>
      <w:r>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11</w:t>
      </w:r>
      <w:r>
        <w:noBreakHyphen/>
        <w:t>80 of the 1976 Code, as last amended by Act 510 of 1984,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80.</w:t>
      </w:r>
      <w:r>
        <w:tab/>
      </w:r>
      <w:r>
        <w:rPr>
          <w:rFonts w:eastAsiaTheme="minorHAnsi"/>
          <w:color w:val="000000" w:themeColor="text1"/>
          <w:szCs w:val="22"/>
          <w:u w:color="000000" w:themeColor="text1"/>
        </w:rPr>
        <w:t xml:space="preserve">All nominating petitions for any political office or petition of any political party seeking certification </w:t>
      </w:r>
      <w:r>
        <w:rPr>
          <w:rFonts w:eastAsiaTheme="minorHAnsi"/>
          <w:strike/>
          <w:color w:val="000000" w:themeColor="text1"/>
          <w:szCs w:val="22"/>
          <w:u w:color="000000" w:themeColor="text1"/>
        </w:rPr>
        <w:t>as such</w:t>
      </w:r>
      <w:r>
        <w:rPr>
          <w:rFonts w:eastAsiaTheme="minorHAnsi"/>
          <w:color w:val="000000" w:themeColor="text1"/>
          <w:szCs w:val="22"/>
          <w:u w:color="000000" w:themeColor="text1"/>
        </w:rPr>
        <w:t xml:space="preserve"> in the State of South Carolina shall be standardized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be on good quality original bond paper sized 8 1/2 x 14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contain a concise statement of purpose; in the case of nomination of candidates, the name of the candidate, the office for which he offers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date of the election for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office shall be contained in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petition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contain in separate columns from left to right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signature of voter and printed name of voter;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address of residence where registered;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precinct of voter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no single petition page shall contain the signatures of registered voters from different counties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t>(5)</w:t>
      </w:r>
      <w:r>
        <w:rPr>
          <w:rFonts w:eastAsiaTheme="minorHAnsi"/>
          <w:color w:val="000000" w:themeColor="text1"/>
          <w:szCs w:val="22"/>
          <w:u w:color="000000" w:themeColor="text1"/>
        </w:rPr>
        <w:tab/>
        <w:t xml:space="preserve">all signatures of registered voters shall be numbered consecutively </w:t>
      </w:r>
      <w:r>
        <w:rPr>
          <w:rFonts w:eastAsiaTheme="minorHAnsi"/>
          <w:color w:val="000000" w:themeColor="text1"/>
          <w:szCs w:val="22"/>
          <w:u w:val="single" w:color="000000" w:themeColor="text1"/>
        </w:rPr>
        <w:t>and legible so that the name of the voter can be identified beyond a reasonable doubt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petitions with more than one page must have the pages consecutively numbered upon filing with the appropriate authority. </w:t>
      </w:r>
      <w:r>
        <w:rPr>
          <w:rFonts w:eastAsiaTheme="minorHAnsi"/>
          <w:color w:val="000000" w:themeColor="text1"/>
          <w:szCs w:val="22"/>
          <w:u w:color="000000" w:themeColor="text1"/>
        </w:rPr>
        <w:tab/>
        <w:t xml:space="preserve">The State Election Commission may furnish petition forms to the county election officials and to interested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85.</w:t>
      </w:r>
      <w:r>
        <w:tab/>
      </w:r>
      <w:r>
        <w:rPr>
          <w:u w:val="single"/>
        </w:rPr>
        <w:t>(A)</w:t>
      </w:r>
      <w:r>
        <w:tab/>
      </w:r>
      <w:r>
        <w:rPr>
          <w:rFonts w:eastAsiaTheme="minorHAnsi"/>
          <w:color w:val="000000" w:themeColor="text1"/>
          <w:szCs w:val="22"/>
          <w:u w:color="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rFonts w:eastAsiaTheme="minorHAnsi"/>
          <w:strike/>
          <w:color w:val="000000" w:themeColor="text1"/>
          <w:szCs w:val="22"/>
          <w:u w:color="000000" w:themeColor="text1"/>
        </w:rPr>
        <w:t>every one of the 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consecutive</w:t>
      </w:r>
      <w:r>
        <w:rPr>
          <w:rFonts w:eastAsiaTheme="minorHAnsi"/>
          <w:color w:val="000000" w:themeColor="text1"/>
          <w:szCs w:val="22"/>
          <w:u w:color="000000" w:themeColor="text1"/>
        </w:rPr>
        <w:t xml:space="preserve"> signatures </w:t>
      </w:r>
      <w:r>
        <w:rPr>
          <w:rFonts w:eastAsiaTheme="minorHAnsi"/>
          <w:color w:val="000000" w:themeColor="text1"/>
          <w:szCs w:val="22"/>
          <w:u w:val="single" w:color="000000" w:themeColor="text1"/>
        </w:rPr>
        <w:t>chosen randomly</w:t>
      </w:r>
      <w:r>
        <w:rPr>
          <w:rFonts w:eastAsiaTheme="minorHAnsi"/>
          <w:color w:val="000000" w:themeColor="text1"/>
          <w:szCs w:val="22"/>
          <w:u w:color="000000" w:themeColor="text1"/>
        </w:rPr>
        <w:t xml:space="preserve"> must be checked for validity and at least one out of every </w:t>
      </w:r>
      <w:r>
        <w:rPr>
          <w:rFonts w:eastAsiaTheme="minorHAnsi"/>
          <w:color w:val="000000" w:themeColor="text1"/>
          <w:szCs w:val="22"/>
          <w:u w:val="single" w:color="000000" w:themeColor="text1"/>
        </w:rPr>
        <w:t>other group of</w:t>
      </w:r>
      <w:r>
        <w:rPr>
          <w:rFonts w:eastAsiaTheme="minorHAnsi"/>
          <w:color w:val="000000" w:themeColor="text1"/>
          <w:szCs w:val="22"/>
          <w:u w:color="000000" w:themeColor="text1"/>
        </w:rPr>
        <w:t xml:space="preserve"> ten signatures  </w:t>
      </w:r>
      <w:r>
        <w:rPr>
          <w:rFonts w:eastAsiaTheme="minorHAnsi"/>
          <w:strike/>
          <w:color w:val="000000" w:themeColor="text1"/>
          <w:szCs w:val="22"/>
          <w:u w:color="000000" w:themeColor="text1"/>
        </w:rPr>
        <w:t>thereafter beginning with the five hundred and first signature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appearing before and after the five hundred signature block also must be chosen randomly and</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must be</w:t>
      </w:r>
      <w:r>
        <w:rPr>
          <w:rFonts w:eastAsiaTheme="minorHAnsi"/>
          <w:color w:val="000000" w:themeColor="text1"/>
          <w:szCs w:val="22"/>
          <w:u w:color="000000" w:themeColor="text1"/>
        </w:rPr>
        <w:t xml:space="preserve"> checked for validity.  If the projected number of valid signatures, using this percentage method for the signatures over five hundred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number over five hundred until the required number of valid signatures is found.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 signatures on a petition may be rejected if the address of a voter, registration certificate number of a voter, or the precinct of </w:t>
      </w:r>
      <w:r>
        <w:rPr>
          <w:rFonts w:eastAsiaTheme="minorHAnsi"/>
          <w:color w:val="000000" w:themeColor="text1"/>
          <w:szCs w:val="22"/>
          <w:u w:color="000000" w:themeColor="text1"/>
        </w:rPr>
        <w:lastRenderedPageBreak/>
        <w:t>a voter, as required by Section 7</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80, is missing or incorrect if the signature is otherwise valid</w:t>
      </w:r>
      <w:r>
        <w:rPr>
          <w:rFonts w:eastAsiaTheme="minorHAnsi"/>
          <w:color w:val="000000" w:themeColor="text1"/>
          <w:szCs w:val="22"/>
          <w:u w:val="single" w:color="000000" w:themeColor="text1"/>
        </w:rPr>
        <w:t>, and if the board can otherwise verify that the voter is currently a qualified elector in that jurisdiction who registered to vote at least thirty days before submission of the petition</w:t>
      </w:r>
      <w:r>
        <w:rPr>
          <w:rFonts w:eastAsiaTheme="minorHAnsi"/>
          <w:color w:val="000000" w:themeColor="text1"/>
          <w:szCs w:val="22"/>
          <w:u w:color="000000" w:themeColor="text1"/>
        </w:rPr>
        <w:t xml:space="preserve">.  The signature of a voter may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r>
        <w:rPr>
          <w:rFonts w:eastAsiaTheme="minorHAnsi"/>
          <w:color w:val="000000" w:themeColor="text1"/>
          <w:szCs w:val="22"/>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95.</w:t>
      </w:r>
      <w:r>
        <w:tab/>
        <w:t>(A)</w:t>
      </w:r>
      <w:r>
        <w:tab/>
        <w:t>The entity to which a petition must be filed may reject the petition if, after a hearing with notice to all parties, the entity finds that by a preponderance of the evidence fraud of any kind or degree was committed in the execution of the petition.  The entity must give all parties supporting and objecting to the petition an opportunity to be heard at the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validation of the signatures on a petition and the determination of whether or not fraud was committed in the execution of the petition must be conducted in public after notice required by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7</w:t>
      </w:r>
      <w:r>
        <w:noBreakHyphen/>
        <w:t>11</w:t>
      </w:r>
      <w:r>
        <w:noBreakHyphen/>
        <w:t>100.</w:t>
      </w:r>
      <w:r>
        <w:tab/>
      </w:r>
      <w:r>
        <w:tab/>
        <w:t>Decisions of a local entity to which a petition must be filed under this article may be appealed  to the State Election Commission and thereafter to a court of competent jurisdiction in the manner in which appeals from the State Election Commission may be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787937-9449-4FD3-A1A2-22A5AB4C76ED}"/>
    <w:embedBold r:id="rId2" w:fontKey="{398986BD-5CEF-4BD0-AA5E-B5D4955E89A2}"/>
  </w:font>
  <w:font w:name="Calibri">
    <w:panose1 w:val="020F0502020204030204"/>
    <w:charset w:val="00"/>
    <w:family w:val="swiss"/>
    <w:pitch w:val="variable"/>
    <w:sig w:usb0="A00002EF" w:usb1="4000207B" w:usb2="00000000" w:usb3="00000000" w:csb0="0000009F" w:csb1="00000000"/>
    <w:embedRegular r:id="rId3" w:fontKey="{C902F430-9261-496C-9BA9-466C05A96B90}"/>
  </w:font>
  <w:font w:name="Cambria">
    <w:panose1 w:val="02040503050406030204"/>
    <w:charset w:val="00"/>
    <w:family w:val="roman"/>
    <w:pitch w:val="variable"/>
    <w:sig w:usb0="A00002EF" w:usb1="4000004B" w:usb2="00000000" w:usb3="00000000" w:csb0="0000009F" w:csb1="00000000"/>
    <w:embedRegular r:id="rId4" w:fontKey="{A8A624DD-4DDC-4EB9-BC74-3107C25C0D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95SD09"/>
    <w:docVar w:name="CoverBillType" w:val="b"/>
    <w:docVar w:name="docpath" w:val="L:\Council\bills\GJK\20195SD09.DOCX"/>
    <w:docVar w:name="dvBillNumber" w:val="590"/>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2009-03-12T18:01:00Z</cp:lastPrinted>
  <dcterms:created xsi:type="dcterms:W3CDTF">2009-03-17T16:29:00Z</dcterms:created>
  <dcterms:modified xsi:type="dcterms:W3CDTF">2009-03-17T16:29:00Z</dcterms:modified>
</cp:coreProperties>
</file>