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1024" w:rsidRP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024" w:rsidRPr="00E61024" w:rsidRDefault="00E61024" w:rsidP="00E61024">
      <w:pPr>
        <w:tabs>
          <w:tab w:val="right" w:pos="5933"/>
        </w:tabs>
        <w:suppressAutoHyphens/>
        <w:jc w:val="both"/>
        <w:rPr>
          <w:rFonts w:eastAsia="Times New Roman"/>
        </w:rPr>
      </w:pPr>
      <w:r>
        <w:rPr>
          <w:rFonts w:eastAsia="Times New Roman"/>
        </w:rPr>
        <w:tab/>
      </w:r>
      <w:r>
        <w:rPr>
          <w:rFonts w:eastAsia="Times New Roman"/>
          <w:b/>
          <w:sz w:val="36"/>
        </w:rPr>
        <w:t>S. 594</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7728">
        <w:t>Senator Leatherman</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5/25/10--H.</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2009.</w:t>
      </w:r>
    </w:p>
    <w:p w:rsidR="00E61024" w:rsidRP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6922" w:rsidSect="005A69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34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1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59</w:t>
      </w:r>
      <w:r w:rsidR="00CB508D">
        <w:noBreakHyphen/>
      </w:r>
      <w:r>
        <w:t>147</w:t>
      </w:r>
      <w:r w:rsidR="00CB508D">
        <w:noBreakHyphen/>
      </w:r>
      <w:r>
        <w:t>30</w:t>
      </w:r>
      <w:r w:rsidR="00CB508D">
        <w:t xml:space="preserve"> OF THE 1976 </w:t>
      </w:r>
      <w:r>
        <w:t>CODE, RELATING TO THE ISSUANCE OF REVENUE BONDS UNDER THE PROVISIONS OF THE HIGHER EDUCATION REVENUE BOND ACT, TO CLARIFY THOSE ELIGIBLE FACILITIES WHICH MAY BE FINANCED UNDER THE ACT; AND TO REPEAL SECTION 59</w:t>
      </w:r>
      <w:r w:rsidR="00CB508D">
        <w:noBreakHyphen/>
      </w:r>
      <w:r>
        <w:t>147</w:t>
      </w:r>
      <w:r w:rsidR="00CB508D">
        <w:noBreakHyphen/>
      </w:r>
      <w:r>
        <w:t>120 RELATING TO LIMITATIONS ON THE ISSUANCE OF CERTAIN REVENUE BONDS.</w:t>
      </w:r>
    </w:p>
    <w:p w:rsidR="00E61024" w:rsidRDefault="00E610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u w:color="000000" w:themeColor="text1"/>
        </w:rPr>
        <w:t>Be it enacted by the General Assembly of the State of South Carolina:</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A1084">
        <w:rPr>
          <w:rFonts w:eastAsia="Times New Roman"/>
          <w:szCs w:val="20"/>
        </w:rPr>
        <w:t>SECTION</w:t>
      </w:r>
      <w:r w:rsidRPr="006A1084">
        <w:rPr>
          <w:rFonts w:eastAsia="Times New Roman"/>
          <w:szCs w:val="20"/>
        </w:rPr>
        <w:tab/>
        <w:t>1.</w:t>
      </w:r>
      <w:r w:rsidRPr="006A1084">
        <w:rPr>
          <w:rFonts w:eastAsia="Times New Roman"/>
          <w:szCs w:val="20"/>
        </w:rPr>
        <w:tab/>
        <w:t>Section 59</w:t>
      </w:r>
      <w:r w:rsidRPr="006A1084">
        <w:rPr>
          <w:rFonts w:eastAsia="Times New Roman"/>
          <w:szCs w:val="20"/>
        </w:rPr>
        <w:noBreakHyphen/>
        <w:t>101</w:t>
      </w:r>
      <w:r w:rsidRPr="006A1084">
        <w:rPr>
          <w:rFonts w:eastAsia="Times New Roman"/>
          <w:szCs w:val="20"/>
        </w:rPr>
        <w:noBreakHyphen/>
        <w:t>620 of the 1976 Code, as added by Act 143 of 2005, is amended to read:</w:t>
      </w: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A1084">
        <w:rPr>
          <w:rFonts w:eastAsia="Times New Roman"/>
          <w:szCs w:val="20"/>
        </w:rPr>
        <w:tab/>
        <w:t>“Section 59</w:t>
      </w:r>
      <w:r w:rsidRPr="006A1084">
        <w:rPr>
          <w:rFonts w:eastAsia="Times New Roman"/>
          <w:szCs w:val="20"/>
        </w:rPr>
        <w:noBreakHyphen/>
        <w:t>101</w:t>
      </w:r>
      <w:r w:rsidRPr="006A1084">
        <w:rPr>
          <w:rFonts w:eastAsia="Times New Roman"/>
          <w:szCs w:val="20"/>
        </w:rPr>
        <w:noBreakHyphen/>
        <w:t>620.</w:t>
      </w:r>
      <w:r w:rsidRPr="006A1084">
        <w:rPr>
          <w:rFonts w:eastAsia="Times New Roman"/>
          <w:szCs w:val="20"/>
        </w:rPr>
        <w:tab/>
      </w:r>
      <w:r w:rsidRPr="006A1084">
        <w:rPr>
          <w:rFonts w:eastAsia="Times New Roman"/>
          <w:szCs w:val="20"/>
          <w:u w:val="single"/>
        </w:rPr>
        <w:t>(A)</w:t>
      </w:r>
      <w:r w:rsidRPr="006A1084">
        <w:rPr>
          <w:rFonts w:eastAsia="Times New Roman"/>
          <w:szCs w:val="20"/>
        </w:rPr>
        <w:tab/>
      </w:r>
      <w:r w:rsidRPr="006A1084">
        <w:t xml:space="preserve">A public institution of higher learning may offer educational fee waivers to no more than </w:t>
      </w:r>
      <w:r w:rsidRPr="006A1084">
        <w:rPr>
          <w:strike/>
        </w:rPr>
        <w:t>four</w:t>
      </w:r>
      <w:r w:rsidRPr="006A1084">
        <w:t xml:space="preserve"> </w:t>
      </w:r>
      <w:r w:rsidRPr="006A1084">
        <w:rPr>
          <w:u w:val="single"/>
        </w:rPr>
        <w:t>eight</w:t>
      </w:r>
      <w:r w:rsidRPr="006A1084">
        <w:t xml:space="preserve"> percent of the undergraduate student body.  </w:t>
      </w:r>
      <w:r w:rsidRPr="006A1084">
        <w:rPr>
          <w:u w:val="single"/>
        </w:rPr>
        <w:t>Any fee waivers above four percent must be used for in</w:t>
      </w:r>
      <w:r w:rsidRPr="006A1084">
        <w:rPr>
          <w:u w:val="single"/>
        </w:rPr>
        <w:noBreakHyphen/>
        <w:t>state students.  for purposes of this section, in</w:t>
      </w:r>
      <w:r w:rsidRPr="006A1084">
        <w:rPr>
          <w:u w:val="single"/>
        </w:rPr>
        <w:noBreakHyphen/>
        <w:t>state student is defined by Section 59</w:t>
      </w:r>
      <w:r w:rsidRPr="006A1084">
        <w:rPr>
          <w:u w:val="single"/>
        </w:rPr>
        <w:noBreakHyphen/>
        <w:t>112</w:t>
      </w:r>
      <w:r w:rsidRPr="006A1084">
        <w:rPr>
          <w:u w:val="single"/>
        </w:rPr>
        <w:noBreakHyphen/>
        <w:t>20(A).</w:t>
      </w: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84">
        <w:tab/>
      </w:r>
      <w:r w:rsidRPr="006A1084">
        <w:rPr>
          <w:u w:val="single"/>
        </w:rPr>
        <w:t>(B)</w:t>
      </w:r>
      <w:r w:rsidRPr="006A1084">
        <w:tab/>
      </w:r>
      <w:r w:rsidRPr="006A1084">
        <w:rPr>
          <w:u w:val="single"/>
        </w:rPr>
        <w:t>State</w:t>
      </w:r>
      <w:r w:rsidRPr="006A1084">
        <w:rPr>
          <w:u w:val="single"/>
        </w:rPr>
        <w:noBreakHyphen/>
        <w:t>supported institutions of higher learning to which subsection (A) applies annually shall report to the Commission on Higher Education the amount of the waivers provided during that fiscal year and other information as the commission may require in regard to these waivers.</w:t>
      </w:r>
      <w:r w:rsidRPr="006A1084">
        <w:t>”</w:t>
      </w: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84">
        <w:t>SECTION</w:t>
      </w:r>
      <w:r w:rsidRPr="006A1084">
        <w:tab/>
        <w:t>2.</w:t>
      </w:r>
      <w:r w:rsidRPr="006A1084">
        <w:tab/>
        <w:t>Article 2, Chapter 101, Title 59 of the 1976 Code is amended by adding:</w:t>
      </w: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61024" w:rsidRPr="006A108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84">
        <w:tab/>
        <w:t>“Section 59</w:t>
      </w:r>
      <w:r w:rsidRPr="006A1084">
        <w:noBreakHyphen/>
        <w:t>101</w:t>
      </w:r>
      <w:r w:rsidRPr="006A1084">
        <w:noBreakHyphen/>
        <w:t>670.</w:t>
      </w:r>
      <w:r w:rsidRPr="006A1084">
        <w:tab/>
        <w:t>Four</w:t>
      </w:r>
      <w:r w:rsidRPr="006A1084">
        <w:noBreakHyphen/>
        <w:t xml:space="preserve">year and graduate level public institutions of higher learning in this state, not including technical </w:t>
      </w:r>
      <w:r w:rsidRPr="006A1084">
        <w:lastRenderedPageBreak/>
        <w:t>colleges, with approval of the Budget and Control Board may enter into one or more ground lease agreements with a private entity whereby the private entity provides all services necessary for the creation and operation of institution infrastructure including, but not limited to, financing, designing, constructing, managing, operating, maintaining, and related services.  Upon expiration of the ground lease agreement term, the private entity shall surrender to the institution the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Budget and Control Board shall approve all ground lease agreement terms and conditions including the consideration involved. The full faith and credit of the State toward the lease obligations may not be pledged, and any statement to the contrary is deemed null and void as a matter of public policy. The private entity may be a nonprofit organization. Budget and Control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This section and the approval required by this section does not exempt any transaction or entity from complying with Chapter</w:t>
      </w:r>
      <w:r>
        <w:t xml:space="preserve"> 35, Title 11 of the 1976 Code.</w:t>
      </w:r>
      <w:r w:rsidRPr="006A1084">
        <w:t>”</w:t>
      </w:r>
    </w:p>
    <w:p w:rsidR="00E61024"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E61024" w:rsidP="00E61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1084">
        <w:t>SECTION</w:t>
      </w:r>
      <w:r w:rsidRPr="006A1084">
        <w:tab/>
        <w:t>3.</w:t>
      </w:r>
      <w:r w:rsidRPr="006A1084">
        <w:tab/>
        <w:t>This act takes effect upon approval by the Governor.</w:t>
      </w:r>
    </w:p>
    <w:p w:rsidR="00C16803" w:rsidRDefault="00CB50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803" w:rsidRDefault="00C16803" w:rsidP="00A40D20">
      <w:pPr>
        <w:suppressAutoHyphens/>
        <w:jc w:val="both"/>
        <w:rPr>
          <w:rFonts w:eastAsia="Times New Roman"/>
        </w:rPr>
      </w:pPr>
    </w:p>
    <w:sectPr w:rsidR="00C16803" w:rsidSect="005A69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48E" w:rsidRDefault="009E348E" w:rsidP="00522CE0">
      <w:r>
        <w:separator/>
      </w:r>
    </w:p>
  </w:endnote>
  <w:endnote w:type="continuationSeparator" w:id="0">
    <w:p w:rsidR="009E348E" w:rsidRDefault="009E348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803CA3-D7C5-4107-8A29-435E9DE2EF03}"/>
    <w:embedBold r:id="rId2" w:fontKey="{71060784-FDE2-45FE-9452-EAB78CB39A5B}"/>
  </w:font>
  <w:font w:name="Calibri">
    <w:panose1 w:val="020F0502020204030204"/>
    <w:charset w:val="00"/>
    <w:family w:val="swiss"/>
    <w:pitch w:val="variable"/>
    <w:sig w:usb0="A00002EF" w:usb1="4000207B" w:usb2="00000000" w:usb3="00000000" w:csb0="0000009F" w:csb1="00000000"/>
    <w:embedRegular r:id="rId3" w:fontKey="{318FE2BD-C360-4B51-A3E9-AF461577CA83}"/>
  </w:font>
  <w:font w:name="Cambria">
    <w:panose1 w:val="02040503050406030204"/>
    <w:charset w:val="00"/>
    <w:family w:val="roman"/>
    <w:pitch w:val="variable"/>
    <w:sig w:usb0="A00002EF" w:usb1="4000004B" w:usb2="00000000" w:usb3="00000000" w:csb0="0000009F" w:csb1="00000000"/>
    <w:embedRegular r:id="rId4" w:fontKey="{6082C64F-DE4F-4D64-9782-D63F66ACDA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CDF" w:rsidRPr="00C16803" w:rsidRDefault="00C16803" w:rsidP="00C16803">
    <w:pPr>
      <w:pStyle w:val="Footer"/>
      <w:tabs>
        <w:tab w:val="clear" w:pos="4680"/>
        <w:tab w:val="clear" w:pos="9360"/>
        <w:tab w:val="center" w:pos="2995"/>
      </w:tabs>
      <w:spacing w:before="120"/>
    </w:pPr>
    <w:r>
      <w:t>[594</w:t>
    </w:r>
    <w:r w:rsidR="005A6922">
      <w:t>-</w:t>
    </w:r>
    <w:fldSimple w:instr=" PAGE  \* MERGEFORMAT ">
      <w:r w:rsidR="00A40D20">
        <w:rPr>
          <w:noProof/>
        </w:rPr>
        <w:t>1</w:t>
      </w:r>
    </w:fldSimple>
    <w:r w:rsidR="005A69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922" w:rsidRPr="00C16803" w:rsidRDefault="005A6922" w:rsidP="00C16803">
    <w:pPr>
      <w:pStyle w:val="Footer"/>
      <w:tabs>
        <w:tab w:val="clear" w:pos="4680"/>
        <w:tab w:val="clear" w:pos="9360"/>
        <w:tab w:val="center" w:pos="2995"/>
      </w:tabs>
      <w:spacing w:before="120"/>
    </w:pPr>
    <w:r>
      <w:t>[594]</w:t>
    </w:r>
    <w:r>
      <w:tab/>
    </w:r>
    <w:fldSimple w:instr=" PAGE  \* MERGEFORMAT ">
      <w:r w:rsidR="00A40D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48E" w:rsidRDefault="009E348E" w:rsidP="00522CE0">
      <w:r>
        <w:separator/>
      </w:r>
    </w:p>
  </w:footnote>
  <w:footnote w:type="continuationSeparator" w:id="0">
    <w:p w:rsidR="009E348E" w:rsidRDefault="009E348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8EDRE.DAG.HKL"/>
    <w:docVar w:name="CoverAttorneyInitials" w:val="DAG"/>
    <w:docVar w:name="CoverAttorneyLastName" w:val="Good"/>
    <w:docVar w:name="CoverBillType" w:val="b"/>
    <w:docVar w:name="CoverSenator" w:val="HKL"/>
    <w:docVar w:name="dvBillNumber" w:val="594"/>
    <w:docVar w:name="dvBillNumberPrefix" w:val="S. "/>
    <w:docVar w:name="dvOriginalBody" w:val="Senate"/>
    <w:docVar w:name="fulldraftpath" w:val="L:\S-FINANC\DRAFTING\HKL\008EDRE.DAG.HKL.DOCX"/>
    <w:docVar w:name="NameofBody" w:val="S"/>
    <w:docVar w:name="vgroup2" w:val="S-FINANC"/>
  </w:docVars>
  <w:rsids>
    <w:rsidRoot w:val="00947455"/>
    <w:rsid w:val="00042AC1"/>
    <w:rsid w:val="00046516"/>
    <w:rsid w:val="0007601D"/>
    <w:rsid w:val="000B0720"/>
    <w:rsid w:val="000B5EAF"/>
    <w:rsid w:val="00135B3B"/>
    <w:rsid w:val="00167FD4"/>
    <w:rsid w:val="00170561"/>
    <w:rsid w:val="00186AC9"/>
    <w:rsid w:val="00197DF1"/>
    <w:rsid w:val="001B3DD9"/>
    <w:rsid w:val="001D3BAC"/>
    <w:rsid w:val="001E6508"/>
    <w:rsid w:val="00245C4E"/>
    <w:rsid w:val="002C5896"/>
    <w:rsid w:val="002D3BED"/>
    <w:rsid w:val="00307C2B"/>
    <w:rsid w:val="003732BE"/>
    <w:rsid w:val="003A16AA"/>
    <w:rsid w:val="003C30E0"/>
    <w:rsid w:val="003D6E2B"/>
    <w:rsid w:val="003E7597"/>
    <w:rsid w:val="00450668"/>
    <w:rsid w:val="004952FA"/>
    <w:rsid w:val="004B0759"/>
    <w:rsid w:val="004B1CDF"/>
    <w:rsid w:val="004B6A22"/>
    <w:rsid w:val="004D7F37"/>
    <w:rsid w:val="00522CE0"/>
    <w:rsid w:val="005517BD"/>
    <w:rsid w:val="00565148"/>
    <w:rsid w:val="00593361"/>
    <w:rsid w:val="005A5017"/>
    <w:rsid w:val="005A648C"/>
    <w:rsid w:val="005A6922"/>
    <w:rsid w:val="005E167E"/>
    <w:rsid w:val="005E4268"/>
    <w:rsid w:val="005F1745"/>
    <w:rsid w:val="00610FAB"/>
    <w:rsid w:val="006B2DE9"/>
    <w:rsid w:val="006C74EA"/>
    <w:rsid w:val="00720D40"/>
    <w:rsid w:val="007318D4"/>
    <w:rsid w:val="00757535"/>
    <w:rsid w:val="00765784"/>
    <w:rsid w:val="00787094"/>
    <w:rsid w:val="00797511"/>
    <w:rsid w:val="007A4390"/>
    <w:rsid w:val="007B6510"/>
    <w:rsid w:val="007D0270"/>
    <w:rsid w:val="007E5CB7"/>
    <w:rsid w:val="00810053"/>
    <w:rsid w:val="008314D2"/>
    <w:rsid w:val="00897624"/>
    <w:rsid w:val="008B2F42"/>
    <w:rsid w:val="008E185F"/>
    <w:rsid w:val="008F023B"/>
    <w:rsid w:val="00901CF4"/>
    <w:rsid w:val="00904E16"/>
    <w:rsid w:val="009162B3"/>
    <w:rsid w:val="00927C62"/>
    <w:rsid w:val="00947455"/>
    <w:rsid w:val="0096208C"/>
    <w:rsid w:val="00983951"/>
    <w:rsid w:val="00984124"/>
    <w:rsid w:val="00984640"/>
    <w:rsid w:val="00995C37"/>
    <w:rsid w:val="009C118A"/>
    <w:rsid w:val="009E348E"/>
    <w:rsid w:val="00A02011"/>
    <w:rsid w:val="00A4011E"/>
    <w:rsid w:val="00A40D20"/>
    <w:rsid w:val="00A86015"/>
    <w:rsid w:val="00AD536B"/>
    <w:rsid w:val="00AE59C8"/>
    <w:rsid w:val="00B10098"/>
    <w:rsid w:val="00B37E8B"/>
    <w:rsid w:val="00B47B87"/>
    <w:rsid w:val="00B5790D"/>
    <w:rsid w:val="00B60482"/>
    <w:rsid w:val="00B945C5"/>
    <w:rsid w:val="00BA1CBB"/>
    <w:rsid w:val="00BA20EA"/>
    <w:rsid w:val="00BA4D13"/>
    <w:rsid w:val="00BB5AFC"/>
    <w:rsid w:val="00BC0A56"/>
    <w:rsid w:val="00C0555E"/>
    <w:rsid w:val="00C16803"/>
    <w:rsid w:val="00C45366"/>
    <w:rsid w:val="00C74052"/>
    <w:rsid w:val="00C762AA"/>
    <w:rsid w:val="00CB187A"/>
    <w:rsid w:val="00CB508D"/>
    <w:rsid w:val="00CC0EC7"/>
    <w:rsid w:val="00CF30EA"/>
    <w:rsid w:val="00D1088B"/>
    <w:rsid w:val="00D11F8F"/>
    <w:rsid w:val="00D156D2"/>
    <w:rsid w:val="00D2740E"/>
    <w:rsid w:val="00D43A47"/>
    <w:rsid w:val="00D709DD"/>
    <w:rsid w:val="00D86943"/>
    <w:rsid w:val="00DA47B9"/>
    <w:rsid w:val="00E61024"/>
    <w:rsid w:val="00E71EB7"/>
    <w:rsid w:val="00E91E2F"/>
    <w:rsid w:val="00E944CE"/>
    <w:rsid w:val="00EA3546"/>
    <w:rsid w:val="00EB47AE"/>
    <w:rsid w:val="00EC34E1"/>
    <w:rsid w:val="00F0234A"/>
    <w:rsid w:val="00F3291D"/>
    <w:rsid w:val="00F52959"/>
    <w:rsid w:val="00F55884"/>
    <w:rsid w:val="00F97DFC"/>
    <w:rsid w:val="00FB36B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43A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2748</Characters>
  <Application>Microsoft Office Word</Application>
  <DocSecurity>0</DocSecurity>
  <Lines>88</Lines>
  <Paragraphs>22</Paragraphs>
  <ScaleCrop>false</ScaleCrop>
  <Company> </Company>
  <LinksUpToDate>false</LinksUpToDate>
  <CharactersWithSpaces>3243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lisacourtney</cp:lastModifiedBy>
  <cp:revision>2</cp:revision>
  <cp:lastPrinted>2009-03-19T14:49:00Z</cp:lastPrinted>
  <dcterms:created xsi:type="dcterms:W3CDTF">2010-05-25T22:50:00Z</dcterms:created>
  <dcterms:modified xsi:type="dcterms:W3CDTF">2010-05-25T22:50:00Z</dcterms:modified>
</cp:coreProperties>
</file>