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32799F">
        <w:t>AMENDMENT ADOPTED</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w:t>
      </w:r>
      <w:r w:rsidR="0032799F">
        <w:t>8</w:t>
      </w:r>
      <w:r>
        <w:t>, 2009</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Pr="003E67FE" w:rsidRDefault="003E67FE" w:rsidP="003E67FE">
      <w:pPr>
        <w:tabs>
          <w:tab w:val="right" w:pos="5933"/>
        </w:tabs>
        <w:suppressAutoHyphens/>
      </w:pPr>
      <w:r>
        <w:tab/>
      </w:r>
      <w:r>
        <w:rPr>
          <w:b/>
          <w:sz w:val="36"/>
        </w:rPr>
        <w:t>S. 636</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Thomas</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w:t>
      </w:r>
      <w:r w:rsidR="0032799F">
        <w:t>8</w:t>
      </w:r>
      <w:r>
        <w:t>/09--S.</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3E67FE" w:rsidRDefault="003E67FE"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7FE" w:rsidSect="003E67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 xml:space="preserve">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w:t>
      </w:r>
      <w:r>
        <w:lastRenderedPageBreak/>
        <w:t>CHRONICALLY ILL TO OBTAIN CERTAIN INFORMATION; TO AUTHORIZE THE DIRECTOR TO PROMULGATE REGULATIONS TO IMPLEMENT AND EFFECTUATE THE PROVISIONS OF THIS CHAPTER; TO PROVIDE FOR PROHIBITIVE PRACTICES, FRAUD PREVENTION, AND CONTROL; AND TO PROVIDE PENALTIES FOR VIOLATIONS.</w:t>
      </w:r>
    </w:p>
    <w:p w:rsidR="0032799F" w:rsidRDefault="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 xml:space="preserve">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w:t>
      </w:r>
      <w:r w:rsidR="0032799F" w:rsidRPr="000872E2">
        <w:rPr>
          <w:snapToGrid w:val="0"/>
        </w:rPr>
        <w:t>an owner</w:t>
      </w:r>
      <w:r>
        <w:t xml:space="preserve"> in this State, for the purpose of creating an interest in or inducing </w:t>
      </w:r>
      <w:r w:rsidR="0032799F" w:rsidRPr="000872E2">
        <w:rPr>
          <w:snapToGrid w:val="0"/>
        </w:rPr>
        <w:t>an owner</w:t>
      </w:r>
      <w:r>
        <w:t xml:space="preserve"> to purchase, sell, assign, devise, bequest, or transfer the death benefit or ownership of a life insurance policy or an interest in a life insurance policy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w:t>
      </w:r>
      <w:r>
        <w:rPr>
          <w:rFonts w:eastAsiaTheme="minorHAnsi"/>
          <w:color w:val="000000" w:themeColor="text1"/>
          <w:szCs w:val="22"/>
          <w:u w:color="000000" w:themeColor="text1"/>
        </w:rPr>
        <w:lastRenderedPageBreak/>
        <w:t xml:space="preserve">compensation is not paid directly or indirectly by the provider or another person, except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whose principal activity related to the transaction is providing funds to effect the life settlement contract or purchase of one or more policies;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presenting, causing to be presented, or preparing with knowledge and belief that it will be presented to or by a provider, </w:t>
      </w:r>
      <w:r>
        <w:lastRenderedPageBreak/>
        <w:t>premium finance lender, broker, insurer, insurance producer, or another person, false material information, or concealing material information</w:t>
      </w:r>
      <w:r>
        <w:rPr>
          <w:iCs/>
        </w:rPr>
        <w:t>,</w:t>
      </w:r>
      <w:r>
        <w:t xml:space="preserve"> as part of, in support of, or concerning a fact material to one or more of the following: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employing a device, scheme, or artifice to defraud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remove, conceal, alter, destroy, or sequester from the director the assets or records of a licensee or other person engaged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(ii)</w:t>
      </w:r>
      <w:r>
        <w:tab/>
        <w:t>misrepresent or conceal the financial condition of a licensee</w:t>
      </w:r>
      <w:r>
        <w:rPr>
          <w:iCs/>
        </w:rPr>
        <w:t xml:space="preserve">, </w:t>
      </w:r>
      <w:r>
        <w:t>financing entity, insurer, or other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w:t>
      </w:r>
      <w:r>
        <w:lastRenderedPageBreak/>
        <w:t xml:space="preserve">another person engaged in the business of life settlements or insurance;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(12)(a) </w:t>
      </w:r>
      <w:r>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t>‘Life settlement contract’ also includes a premium finance loan made for a policy on or before the date of issuance of the policy where: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the loan proceeds are not used only to pay premiums for the policy and any costs or expenses incurred by the lender or the borrower in connection with the financing;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rsidR="0032799F"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0872E2">
        <w:rPr>
          <w:snapToGrid w:val="0"/>
        </w:rPr>
        <w:t xml:space="preserve">(d) An agreement described in item (12)(a) is a </w:t>
      </w:r>
      <w:r w:rsidRPr="006B42EE">
        <w:rPr>
          <w:snapToGrid w:val="0"/>
        </w:rPr>
        <w:t>‘</w:t>
      </w:r>
      <w:r w:rsidRPr="000872E2">
        <w:rPr>
          <w:snapToGrid w:val="0"/>
        </w:rPr>
        <w:t>life settlement contract</w:t>
      </w:r>
      <w:r w:rsidRPr="006B42EE">
        <w:rPr>
          <w:snapToGrid w:val="0"/>
        </w:rPr>
        <w:t>’</w:t>
      </w:r>
      <w:r w:rsidRPr="000872E2">
        <w:rPr>
          <w:snapToGrid w:val="0"/>
        </w:rPr>
        <w:t xml:space="preserve"> even if it is referred to by a different name, including viatical settlement, a senior settlement, or similar term.</w:t>
      </w:r>
      <w:r>
        <w:tab/>
      </w:r>
      <w:r>
        <w:tab/>
      </w:r>
    </w:p>
    <w:p w:rsidR="00EB462D"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rsidR="003E67FE">
        <w:t>)</w:t>
      </w:r>
      <w:r w:rsidR="003E67FE">
        <w:tab/>
        <w:t>‘Life settlement contract’ does not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 policy loan by a life insurance company pursuant to the terms of the life insurance policy or accelerated death provisions contained in the life insurance policy, whether issued with the original policy or as a rider;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(A)</w:t>
      </w:r>
      <w:r>
        <w:tab/>
        <w:t>shareholders in a corporation or between a corporation and one or more of its shareholders or one or more trust established by its shareholders;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partners in a partnership or between a partnership and one or more of its partners or one or more trust established by its partners;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 xml:space="preserve">(14)(a) </w:t>
      </w:r>
      <w:r>
        <w:tab/>
        <w:t xml:space="preserve">‘Owner’ means the owner of a life </w:t>
      </w:r>
      <w:r>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term ‘owner’ does not include 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w:t>
      </w:r>
      <w:r>
        <w:rPr>
          <w:rFonts w:eastAsiaTheme="minorHAnsi"/>
          <w:color w:val="000000" w:themeColor="text1"/>
          <w:szCs w:val="22"/>
          <w:u w:color="000000" w:themeColor="text1"/>
        </w:rPr>
        <w:lastRenderedPageBreak/>
        <w:t xml:space="preserve">resident of this State, regardless of whether delivered or issued for delivery in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t>‘Provider’ means a person other than an owner, who enters into or effectuates a life settlement contract with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r>
      <w:r>
        <w:rPr>
          <w:rFonts w:eastAsiaTheme="minorHAnsi"/>
          <w:color w:val="000000" w:themeColor="text1"/>
          <w:szCs w:val="22"/>
          <w:u w:color="000000" w:themeColor="text1"/>
        </w:rPr>
        <w:tab/>
        <w:t>a bank, savings bank, savings and loan association, credit union;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r>
      <w:r>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insurer of a life insurance policy or rider to the extent of providing accelerated death benefits, riders, or cash surrender value;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 </w:t>
      </w:r>
      <w:r>
        <w:rPr>
          <w:rFonts w:eastAsiaTheme="minorHAnsi"/>
          <w:color w:val="000000" w:themeColor="text1"/>
          <w:szCs w:val="22"/>
          <w:u w:color="000000" w:themeColor="text1"/>
        </w:rPr>
        <w:tab/>
      </w:r>
      <w:r>
        <w:rPr>
          <w:rFonts w:eastAsiaTheme="minorHAnsi"/>
          <w:color w:val="000000" w:themeColor="text1"/>
          <w:szCs w:val="22"/>
          <w:u w:color="000000" w:themeColor="text1"/>
        </w:rPr>
        <w:tab/>
        <w:t>a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 </w:t>
      </w:r>
      <w:r>
        <w:rPr>
          <w:rFonts w:eastAsiaTheme="minorHAnsi"/>
          <w:color w:val="000000" w:themeColor="text1"/>
          <w:szCs w:val="22"/>
          <w:u w:color="000000" w:themeColor="text1"/>
        </w:rPr>
        <w:tab/>
      </w:r>
      <w:r>
        <w:rPr>
          <w:rFonts w:eastAsiaTheme="minorHAnsi"/>
          <w:color w:val="000000" w:themeColor="text1"/>
          <w:szCs w:val="22"/>
          <w:u w:color="000000" w:themeColor="text1"/>
        </w:rPr>
        <w:tab/>
        <w:t>any authorized or eligible insurer than provides stop loss coverage to a provider, purchaser, financing entity, special purpose entity, or related provider trust;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(vii) </w:t>
      </w:r>
      <w:r>
        <w:rPr>
          <w:rFonts w:eastAsiaTheme="minorHAnsi"/>
          <w:color w:val="000000" w:themeColor="text1"/>
          <w:szCs w:val="22"/>
          <w:u w:color="000000" w:themeColor="text1"/>
        </w:rPr>
        <w:tab/>
        <w:t>a 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t>a special purpose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r>
      <w:r>
        <w:rPr>
          <w:rFonts w:eastAsiaTheme="minorHAnsi"/>
          <w:color w:val="000000" w:themeColor="text1"/>
          <w:szCs w:val="22"/>
          <w:u w:color="000000" w:themeColor="text1"/>
        </w:rPr>
        <w:tab/>
        <w:t>a related provider trust;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r>
      <w:r>
        <w:rPr>
          <w:rFonts w:eastAsiaTheme="minorHAnsi"/>
          <w:color w:val="000000" w:themeColor="text1"/>
          <w:szCs w:val="22"/>
          <w:u w:color="000000" w:themeColor="text1"/>
        </w:rPr>
        <w:tab/>
        <w:t>a broker;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accredited investor or qualified institutional buyer as defined respectively in Regulation D, Rule 501, or Rule 144A of the Federal Securities Act of 1933, as amended, who purchases a life settlement policy from a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lastRenderedPageBreak/>
        <w:tab/>
        <w:t>(22)</w:t>
      </w:r>
      <w:r>
        <w:tab/>
        <w:t>‘</w:t>
      </w:r>
      <w:r>
        <w:rPr>
          <w:rFonts w:cs="Arial"/>
        </w:rPr>
        <w:t>Related provider trust</w:t>
      </w:r>
      <w:r>
        <w:t>’</w:t>
      </w:r>
      <w:r>
        <w:rPr>
          <w:rFonts w:cs="Arial"/>
        </w:rPr>
        <w:t xml:space="preserve"> means a titling trust or other trust established by a licensed provider or a financing entity for the sole 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w:t>
      </w:r>
      <w:r w:rsidR="0032799F" w:rsidRPr="000872E2">
        <w:rPr>
          <w:snapToGrid w:val="0"/>
        </w:rPr>
        <w:t>the lawful assignment of a policy, including a lawful life settlement contract, or</w:t>
      </w:r>
      <w:r w:rsidR="0032799F">
        <w:rPr>
          <w:snapToGrid w:val="0"/>
        </w:rPr>
        <w:t xml:space="preserve"> </w:t>
      </w:r>
      <w:r>
        <w:rPr>
          <w:rFonts w:cs="Arial"/>
        </w:rPr>
        <w:t>those practices provided for in life settlement contracts as defined in item (12)(d).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lastRenderedPageBreak/>
        <w:tab/>
      </w:r>
      <w:r>
        <w:t>(26)</w:t>
      </w:r>
      <w:r>
        <w:tab/>
        <w:t>‘Terminally ill’ means having an illness or sickness that reasonably is expected to result in death in twenty</w:t>
      </w:r>
      <w:r>
        <w:noBreakHyphen/>
        <w:t>four months or less.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38</w:t>
      </w:r>
      <w:r>
        <w:rPr>
          <w:bCs/>
        </w:rPr>
        <w:noBreakHyphen/>
        <w:t>64</w:t>
      </w:r>
      <w:r>
        <w:rPr>
          <w:bCs/>
        </w:rPr>
        <w:noBreakHyphen/>
        <w:t>30.</w:t>
      </w:r>
      <w:r>
        <w:rPr>
          <w:bCs/>
        </w:rPr>
        <w:tab/>
        <w:t>(</w:t>
      </w:r>
      <w:r>
        <w:t>A)</w:t>
      </w:r>
      <w:r>
        <w:tab/>
      </w:r>
      <w:r w:rsidR="0032799F" w:rsidRPr="000872E2">
        <w:rPr>
          <w:snapToGrid w:val="0"/>
        </w:rPr>
        <w:t>Except as provided for in subsections (C) and (D) of this section, a</w:t>
      </w:r>
      <w:r>
        <w:rPr>
          <w:color w:val="000000"/>
        </w:rPr>
        <w:t xml:space="preserve">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w:t>
      </w:r>
      <w:r w:rsidR="00A71D15">
        <w:t>)</w:t>
      </w:r>
      <w:r>
        <w:t xml:space="preserve">, partners, officers, and employees.  The director, in his discretion, may refuse to issue a license in the name of a person if not satisfied that an officer, employee, stockholder, or partner of any of them who may materially influence the applicant’s conduct meets the standards of </w:t>
      </w:r>
      <w:r w:rsidR="009527B3">
        <w:rPr>
          <w:snapToGrid w:val="0"/>
        </w:rPr>
        <w:t>t</w:t>
      </w:r>
      <w:r w:rsidR="009527B3" w:rsidRPr="000872E2">
        <w:rPr>
          <w:snapToGrid w:val="0"/>
        </w:rPr>
        <w:t>his chapter</w:t>
      </w:r>
      <w: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sidR="009527B3">
        <w:rPr>
          <w:rFonts w:cs="Arial"/>
        </w:rPr>
        <w:t>(1)</w:t>
      </w:r>
      <w:r w:rsidR="009527B3">
        <w:rPr>
          <w:rFonts w:cs="Arial"/>
        </w:rPr>
        <w:tab/>
        <w:t>if</w:t>
      </w:r>
      <w:r>
        <w:rPr>
          <w:rFonts w:cs="Arial"/>
        </w:rPr>
        <w:t xml:space="preserve"> a provider, has provided a detailed plan of operation;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lastRenderedPageBreak/>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 xml:space="preserve">An individual licensed as a broker shall complete on a biennial basis fifteen hours of training related to life settlements and life settlement transactions, as required by the director.  A life insurance producer who is operating as a broker pursuant to this </w:t>
      </w:r>
      <w:r>
        <w:rPr>
          <w:rFonts w:eastAsiaTheme="minorHAnsi"/>
          <w:color w:val="000000" w:themeColor="text1"/>
          <w:szCs w:val="22"/>
          <w:u w:color="000000" w:themeColor="text1"/>
        </w:rPr>
        <w:lastRenderedPageBreak/>
        <w:t>section is not subject to the requirements of this subsection. A person failing to meet the requirements of this subsection is subject to the penalties imposed by the director.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sidR="009527B3">
        <w:rPr>
          <w:rFonts w:eastAsiaTheme="minorHAnsi"/>
          <w:color w:val="000000" w:themeColor="text1"/>
          <w:szCs w:val="22"/>
          <w:u w:color="000000" w:themeColor="text1"/>
        </w:rPr>
        <w:tab/>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w:t>
      </w:r>
      <w:r>
        <w:rPr>
          <w:rFonts w:eastAsiaTheme="minorHAnsi"/>
          <w:color w:val="000000" w:themeColor="text1"/>
          <w:szCs w:val="22"/>
          <w:u w:color="000000" w:themeColor="text1"/>
        </w:rPr>
        <w:lastRenderedPageBreak/>
        <w:t xml:space="preserve">settlement contract, may not require that the owner, insured, provider, or broker sign a form, disclosure, consent, waiver, or acknowledgment that has not been expressly approved by the director for use in connection with life settlement contracts in this State.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sidR="003E67FE">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80, 38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90, 38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110, and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Except as otherwise allowed or required by law, a provider, broker, insurance company, insurance producer, information bureau, rating agency, or company, or another person with actual knowledge of an insured’s identity, may not disclose the identity of </w:t>
      </w:r>
      <w:r>
        <w:rPr>
          <w:rFonts w:eastAsiaTheme="minorHAnsi"/>
          <w:color w:val="000000" w:themeColor="text1"/>
          <w:szCs w:val="22"/>
          <w:u w:color="000000" w:themeColor="text1"/>
        </w:rPr>
        <w:lastRenderedPageBreak/>
        <w:t>an insured or information that there is a reasonable basis to believe could be used to identify the insured or the insured’s financial or medical information to another person unless the disclosure is: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w:t>
      </w:r>
      <w:r>
        <w:rPr>
          <w:rFonts w:eastAsiaTheme="minorHAnsi"/>
          <w:color w:val="000000" w:themeColor="text1"/>
          <w:szCs w:val="22"/>
          <w:u w:color="000000" w:themeColor="text1"/>
        </w:rPr>
        <w:lastRenderedPageBreak/>
        <w:t>interests of the public.  The expenses incurred in conducting an examination must be paid by the licensee or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director shall have the power to issue subpoenas, to administer oaths, and to examine under oath any person as to any matter pertinent to the examination. Upon the failure or refusal of a person to obey a subpoena, the director may petition a court of </w:t>
      </w:r>
      <w:r>
        <w:rPr>
          <w:rFonts w:eastAsiaTheme="minorHAnsi"/>
          <w:color w:val="000000" w:themeColor="text1"/>
          <w:szCs w:val="22"/>
          <w:u w:color="000000" w:themeColor="text1"/>
        </w:rPr>
        <w:lastRenderedPageBreak/>
        <w:t>competent jurisdiction, and upon proper showing, the court may enter an order compelling the witness to appear and testify or produce documentary evidence.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w:t>
      </w:r>
      <w:r>
        <w:rPr>
          <w:rFonts w:eastAsiaTheme="minorHAnsi"/>
          <w:color w:val="000000" w:themeColor="text1"/>
          <w:szCs w:val="22"/>
          <w:u w:color="000000" w:themeColor="text1"/>
        </w:rPr>
        <w:lastRenderedPageBreak/>
        <w:t>intent to deceive. This item does not abrogate or modify in any way any common law or statutory privilege or immunity enjoyed by a person identified in item 3.</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w:t>
      </w:r>
      <w:r w:rsidR="009527B3" w:rsidRPr="000872E2">
        <w:rPr>
          <w:snapToGrid w:val="0"/>
        </w:rPr>
        <w:t xml:space="preserve">fifteen </w:t>
      </w:r>
      <w:r>
        <w:rPr>
          <w:rFonts w:eastAsiaTheme="minorHAnsi"/>
          <w:color w:val="000000" w:themeColor="text1"/>
          <w:szCs w:val="22"/>
          <w:u w:color="000000" w:themeColor="text1"/>
        </w:rPr>
        <w:t>days of the date it is executed by all parties and the owner has received the disclosures contained in the life settlement contract</w:t>
      </w:r>
      <w:r w:rsidR="00A71D1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(10</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the affiliation, if any, between the provider and the issuer of the insurance policy to be settled;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the document must include the name,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3</w:t>
      </w:r>
      <w:r>
        <w:rPr>
          <w:rFonts w:eastAsiaTheme="minorHAnsi"/>
          <w:color w:val="000000" w:themeColor="text1"/>
          <w:szCs w:val="22"/>
          <w:u w:color="000000" w:themeColor="text1"/>
        </w:rPr>
        <w:t>)</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0872E2">
        <w:rPr>
          <w:snapToGrid w:val="0"/>
        </w:rPr>
        <w:t>(C)</w:t>
      </w:r>
      <w:r w:rsidRPr="000872E2">
        <w:rPr>
          <w:snapToGrid w:val="0"/>
        </w:rPr>
        <w:tab/>
      </w:r>
      <w:r w:rsidRPr="000872E2">
        <w:rPr>
          <w:color w:val="000000" w:themeColor="text1"/>
          <w:u w:color="000000" w:themeColor="text1"/>
        </w:rPr>
        <w:t xml:space="preserve">The director shall require delivery of a </w:t>
      </w:r>
      <w:r w:rsidRPr="006B42EE">
        <w:rPr>
          <w:color w:val="000000" w:themeColor="text1"/>
          <w:u w:color="000000" w:themeColor="text1"/>
        </w:rPr>
        <w:t>‘</w:t>
      </w:r>
      <w:r w:rsidRPr="000872E2">
        <w:rPr>
          <w:color w:val="000000" w:themeColor="text1"/>
          <w:u w:color="000000" w:themeColor="text1"/>
        </w:rPr>
        <w:t>Buyer</w:t>
      </w:r>
      <w:r w:rsidRPr="006B42EE">
        <w:rPr>
          <w:color w:val="000000" w:themeColor="text1"/>
          <w:u w:color="000000" w:themeColor="text1"/>
        </w:rPr>
        <w:t>’</w:t>
      </w:r>
      <w:r w:rsidRPr="000872E2">
        <w:rPr>
          <w:color w:val="000000" w:themeColor="text1"/>
          <w:u w:color="000000" w:themeColor="text1"/>
        </w:rPr>
        <w:t>s Guide</w:t>
      </w:r>
      <w:r w:rsidRPr="006B42EE">
        <w:rPr>
          <w:color w:val="000000" w:themeColor="text1"/>
          <w:u w:color="000000" w:themeColor="text1"/>
        </w:rPr>
        <w:t>’</w:t>
      </w:r>
      <w:r w:rsidRPr="000872E2">
        <w:rPr>
          <w:color w:val="000000" w:themeColor="text1"/>
          <w:u w:color="000000" w:themeColor="text1"/>
        </w:rPr>
        <w:t xml:space="preserve"> or a similar consumer advisory package in the form prescribed by the director to owners during the solicitation process. </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(D)</w:t>
      </w:r>
      <w:r w:rsidRPr="000872E2">
        <w:rPr>
          <w:color w:val="000000" w:themeColor="text1"/>
          <w:u w:color="000000" w:themeColor="text1"/>
        </w:rPr>
        <w:tab/>
        <w:t xml:space="preserve">The disclosure document must contain the following language: </w:t>
      </w:r>
      <w:r w:rsidRPr="006B42EE">
        <w:rPr>
          <w:color w:val="000000" w:themeColor="text1"/>
          <w:u w:color="000000" w:themeColor="text1"/>
        </w:rPr>
        <w:t>‘</w:t>
      </w:r>
      <w:r w:rsidRPr="000872E2">
        <w:rPr>
          <w:color w:val="000000" w:themeColor="text1"/>
          <w:u w:color="000000" w:themeColor="text1"/>
        </w:rPr>
        <w:t>All medical, financial, or personal Information solicited or obtained by a provider or broker about an insured, including the insured</w:t>
      </w:r>
      <w:r w:rsidRPr="006B42EE">
        <w:rPr>
          <w:color w:val="000000" w:themeColor="text1"/>
          <w:u w:color="000000" w:themeColor="text1"/>
        </w:rPr>
        <w:t>’</w:t>
      </w:r>
      <w:r w:rsidRPr="000872E2">
        <w:rPr>
          <w:color w:val="000000" w:themeColor="text1"/>
          <w:u w:color="000000" w:themeColor="text1"/>
        </w:rPr>
        <w:t>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r w:rsidRPr="006B42EE">
        <w:rPr>
          <w:color w:val="000000" w:themeColor="text1"/>
          <w:u w:color="000000" w:themeColor="text1"/>
        </w:rPr>
        <w:t>’</w:t>
      </w:r>
      <w:r w:rsidRPr="000872E2">
        <w:rPr>
          <w:color w:val="000000" w:themeColor="text1"/>
          <w:u w:color="000000" w:themeColor="text1"/>
        </w:rPr>
        <w:t>.</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(E)</w:t>
      </w:r>
      <w:r w:rsidRPr="000872E2">
        <w:rPr>
          <w:color w:val="000000" w:themeColor="text1"/>
          <w:u w:color="000000" w:themeColor="text1"/>
        </w:rPr>
        <w:tab/>
        <w:t>The director shall require providers and brokers to print separate signed fraud warnings on their applications and on their life settlement contracts as follows:</w:t>
      </w:r>
    </w:p>
    <w:p w:rsidR="009527B3"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r>
      <w:r w:rsidRPr="006B42EE">
        <w:rPr>
          <w:color w:val="000000" w:themeColor="text1"/>
          <w:u w:color="000000" w:themeColor="text1"/>
        </w:rPr>
        <w:t>‘</w:t>
      </w:r>
      <w:r w:rsidRPr="000872E2">
        <w:rPr>
          <w:color w:val="000000" w:themeColor="text1"/>
          <w:u w:color="000000" w:themeColor="text1"/>
        </w:rPr>
        <w:t>A person who knowingly presents false information in an application for insurance or life settlement contract is guilty of a crime and, upon conviction, is subject to fines and confinement in prison.</w:t>
      </w:r>
      <w:r w:rsidRPr="006B42EE">
        <w:rPr>
          <w:color w:val="000000" w:themeColor="text1"/>
          <w:u w:color="000000" w:themeColor="text1"/>
        </w:rPr>
        <w:t>’</w:t>
      </w:r>
    </w:p>
    <w:p w:rsidR="00EB462D" w:rsidRDefault="003E67FE"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9527B3">
        <w:rPr>
          <w:rFonts w:eastAsiaTheme="minorHAnsi"/>
          <w:color w:val="000000" w:themeColor="text1"/>
          <w:szCs w:val="22"/>
          <w:u w:color="000000" w:themeColor="text1"/>
        </w:rPr>
        <w:t>(F</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 broker shall provide the owner and the provider with at least the following disclosures no later than the date the life </w:t>
      </w:r>
      <w:r>
        <w:rPr>
          <w:rFonts w:eastAsiaTheme="minorHAnsi"/>
          <w:color w:val="000000" w:themeColor="text1"/>
          <w:szCs w:val="22"/>
          <w:u w:color="000000" w:themeColor="text1"/>
        </w:rPr>
        <w:lastRenderedPageBreak/>
        <w:t>settlement contract is signed by all parties. The disclosures must be displayed conspicuously in the life settlement contract or in a separate document signed by the owner and provide the following information: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w:t>
      </w:r>
      <w:r>
        <w:rPr>
          <w:rFonts w:eastAsiaTheme="minorHAnsi"/>
          <w:color w:val="000000" w:themeColor="text1"/>
          <w:szCs w:val="22"/>
          <w:u w:color="000000" w:themeColor="text1"/>
        </w:rPr>
        <w:lastRenderedPageBreak/>
        <w:t xml:space="preserve">point in the future in satisfaction of the loan, the following may be true: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years from the date of application for a settlement contract, to the insurance company that issued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All medical information solicited or obtained by any licensee is subject to the applicable provision of state law relating </w:t>
      </w:r>
      <w:r>
        <w:rPr>
          <w:rFonts w:eastAsiaTheme="minorHAnsi"/>
          <w:color w:val="000000" w:themeColor="text1"/>
          <w:szCs w:val="22"/>
          <w:u w:color="000000" w:themeColor="text1"/>
        </w:rPr>
        <w:lastRenderedPageBreak/>
        <w:t>to confidentiality of medical information, if not otherwise provided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w:t>
      </w:r>
      <w:r w:rsidR="009527B3" w:rsidRPr="000872E2">
        <w:rPr>
          <w:color w:val="000000" w:themeColor="text1"/>
          <w:u w:color="000000" w:themeColor="text1"/>
        </w:rPr>
        <w:t>fifteen</w:t>
      </w:r>
      <w:r>
        <w:rPr>
          <w:rFonts w:eastAsiaTheme="minorHAnsi"/>
          <w:color w:val="000000" w:themeColor="text1"/>
          <w:szCs w:val="22"/>
          <w:u w:color="000000" w:themeColor="text1"/>
        </w:rPr>
        <w:t xml:space="preserve"> days after the date it is executed by all parties, and the owner has re</w:t>
      </w:r>
      <w:r w:rsidR="009527B3">
        <w:rPr>
          <w:rFonts w:eastAsiaTheme="minorHAnsi"/>
          <w:color w:val="000000" w:themeColor="text1"/>
          <w:szCs w:val="22"/>
          <w:u w:color="000000" w:themeColor="text1"/>
        </w:rPr>
        <w:t>ceived all required disclosures</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 xml:space="preserve">A person at any time before, or at the time of, the application for, or issuance of, a policy, or during a two year period commencing with the date of issuance of the policy, shall </w:t>
      </w:r>
      <w:r w:rsidR="00281B60">
        <w:rPr>
          <w:color w:val="000000" w:themeColor="text1"/>
          <w:u w:color="000000" w:themeColor="text1"/>
        </w:rPr>
        <w:t xml:space="preserve">not </w:t>
      </w:r>
      <w:r>
        <w:rPr>
          <w:rFonts w:eastAsiaTheme="minorHAnsi"/>
          <w:color w:val="000000" w:themeColor="text1"/>
          <w:szCs w:val="22"/>
          <w:u w:color="000000" w:themeColor="text1"/>
        </w:rPr>
        <w:t xml:space="preserve">enter into a life settlement contract regardless of the date the </w:t>
      </w:r>
      <w:r>
        <w:rPr>
          <w:rFonts w:eastAsiaTheme="minorHAnsi"/>
          <w:color w:val="000000" w:themeColor="text1"/>
          <w:szCs w:val="22"/>
          <w:u w:color="000000" w:themeColor="text1"/>
        </w:rPr>
        <w:lastRenderedPageBreak/>
        <w:t>compensation is to be provided and regardless of the date the assignment, transfer, sale, devise, bequest, or surrender of the policy is to occur.  This prohibition does not apply if the owner certifies to the provider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owner or insured is terminally or chronically ill;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w:t>
      </w:r>
      <w:r>
        <w:rPr>
          <w:rFonts w:eastAsiaTheme="minorHAnsi"/>
          <w:color w:val="000000" w:themeColor="text1"/>
          <w:szCs w:val="22"/>
          <w:u w:color="000000" w:themeColor="text1"/>
        </w:rPr>
        <w:lastRenderedPageBreak/>
        <w:t xml:space="preserve">the policy to the provider, the copy is considered to establish that the settlement contract satisfies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rsidR="00281B60"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engage in a transaction, practice, or course of business if the person knows or reasonably should have known that the intent was to avoid the notice requirements of this </w:t>
      </w:r>
      <w:r w:rsidR="00281B60">
        <w:rPr>
          <w:rFonts w:eastAsiaTheme="minorHAnsi"/>
          <w:color w:val="000000" w:themeColor="text1"/>
          <w:szCs w:val="22"/>
          <w:u w:color="000000" w:themeColor="text1"/>
        </w:rPr>
        <w:t>chapter</w:t>
      </w:r>
      <w:r>
        <w:rPr>
          <w:rFonts w:eastAsiaTheme="minorHAnsi"/>
          <w:color w:val="000000" w:themeColor="text1"/>
          <w:szCs w:val="22"/>
          <w:u w:color="000000" w:themeColor="text1"/>
        </w:rP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 xml:space="preserve">if </w:t>
      </w:r>
      <w:r>
        <w:rPr>
          <w:rFonts w:eastAsiaTheme="minorHAnsi"/>
          <w:color w:val="000000" w:themeColor="text1"/>
          <w:szCs w:val="22"/>
          <w:u w:color="000000" w:themeColor="text1"/>
        </w:rPr>
        <w:t>providing premium financing</w:t>
      </w:r>
      <w:r w:rsidR="00281B6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rsidR="00281B60"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ab/>
      </w:r>
      <w:r w:rsidR="00281B60" w:rsidRPr="000872E2">
        <w:rPr>
          <w:color w:val="000000" w:themeColor="text1"/>
          <w:u w:color="000000" w:themeColor="text1"/>
        </w:rPr>
        <w:t>(8)</w:t>
      </w:r>
      <w:r w:rsidR="00281B60" w:rsidRPr="000872E2">
        <w:rPr>
          <w:color w:val="000000" w:themeColor="text1"/>
          <w:u w:color="000000" w:themeColor="text1"/>
        </w:rPr>
        <w:tab/>
        <w:t>with respect to a provider,</w:t>
      </w:r>
      <w:r w:rsidR="00281B60" w:rsidRPr="000872E2">
        <w:rPr>
          <w:color w:val="000000" w:themeColor="text1"/>
          <w:u w:color="000000" w:themeColor="text1"/>
        </w:rPr>
        <w:tab/>
        <w:t xml:space="preserve"> to enter into a life settlement contract unless the advertising and marketing materials, as may be prescribed by regulation, have been filed with the director.  Advertising of a provider may not reference that the insurance is </w:t>
      </w:r>
      <w:r w:rsidR="00281B60" w:rsidRPr="006B42EE">
        <w:rPr>
          <w:color w:val="000000" w:themeColor="text1"/>
          <w:u w:color="000000" w:themeColor="text1"/>
        </w:rPr>
        <w:t>‘</w:t>
      </w:r>
      <w:r w:rsidR="00281B60" w:rsidRPr="000872E2">
        <w:rPr>
          <w:color w:val="000000" w:themeColor="text1"/>
          <w:u w:color="000000" w:themeColor="text1"/>
        </w:rPr>
        <w:t>free</w:t>
      </w:r>
      <w:r w:rsidR="00281B60" w:rsidRPr="006B42EE">
        <w:rPr>
          <w:color w:val="000000" w:themeColor="text1"/>
          <w:u w:color="000000" w:themeColor="text1"/>
        </w:rPr>
        <w:t>’</w:t>
      </w:r>
      <w:r w:rsidR="00281B60" w:rsidRPr="000872E2">
        <w:rPr>
          <w:color w:val="000000" w:themeColor="text1"/>
          <w:u w:color="000000" w:themeColor="text1"/>
        </w:rPr>
        <w:t xml:space="preserve"> for any period of time. The inclusion of any reference in the advertising materials that causes an owner to reasonably believe that the insurance is free for any period of time is considered a violation of this chapter;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insurance is free or without cost to the policyholder for any period of time unless provided in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A civil liability must not be imposed on and no cause of action shall arise from a person’s furnishing information concerning suspected, anticipated, or completed fraudulent life settlement acts or suspected or completed fraudulent insurance acts, if the information is provided to or received from:</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prohibit release by the director of documents and evidence obtained in an investigation of suspected or actual fraudulent life settlement 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rsidR="00EB462D"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preempt, supersede, or limit any provision of the South Carolina Uniform Securities Act of 2005 or any rule, order, or notice issued thereunder;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 (i)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otherwise in compliance with the provisions of this act. A person transacting business in this State under this provision is obligated to comply with all other requirements of this chapter.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 xml:space="preserve">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w:t>
      </w:r>
      <w:r>
        <w:rPr>
          <w:rFonts w:eastAsiaTheme="minorHAnsi"/>
          <w:color w:val="000000" w:themeColor="text1"/>
          <w:szCs w:val="22"/>
          <w:u w:color="000000" w:themeColor="text1"/>
        </w:rPr>
        <w:lastRenderedPageBreak/>
        <w:t>chapter, then the filing of the application must not be later than thirty days after the effective date of this act.  A person transacting business in this State under this provision is obligated to comply with all other requirements of this chapter.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62D" w:rsidRDefault="00EB462D" w:rsidP="002E11F5">
      <w:pPr>
        <w:suppressAutoHyphens/>
      </w:pPr>
    </w:p>
    <w:sectPr w:rsidR="00EB462D" w:rsidSect="003E67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7B3" w:rsidRDefault="009527B3">
      <w:r>
        <w:separator/>
      </w:r>
    </w:p>
  </w:endnote>
  <w:endnote w:type="continuationSeparator" w:id="1">
    <w:p w:rsidR="009527B3" w:rsidRDefault="00952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78C750-B761-42ED-9228-2C10B701289E}"/>
    <w:embedBold r:id="rId2" w:fontKey="{172DB7F9-62DC-49DA-886C-59A709C0680C}"/>
    <w:embedItalic r:id="rId3" w:fontKey="{CFAB1646-1788-4C0D-BD24-F2F13FCEF0B7}"/>
  </w:font>
  <w:font w:name="Calibri">
    <w:panose1 w:val="020F0502020204030204"/>
    <w:charset w:val="00"/>
    <w:family w:val="swiss"/>
    <w:pitch w:val="variable"/>
    <w:sig w:usb0="A00002EF" w:usb1="4000207B" w:usb2="00000000" w:usb3="00000000" w:csb0="0000009F" w:csb1="00000000"/>
    <w:embedRegular r:id="rId4" w:fontKey="{BB3515E6-28BA-46B0-AB05-D5CCDB1A88F3}"/>
    <w:embedBold r:id="rId5" w:fontKey="{038B2A89-AB67-4B59-AF88-ADBADACE8FA3}"/>
    <w:embedItalic r:id="rId6" w:fontKey="{702F0A01-9425-4E91-8F10-D8EAB1E6C09C}"/>
  </w:font>
  <w:font w:name="Verdana">
    <w:panose1 w:val="020B0604030504040204"/>
    <w:charset w:val="00"/>
    <w:family w:val="swiss"/>
    <w:pitch w:val="variable"/>
    <w:sig w:usb0="20000287" w:usb1="00000000" w:usb2="00000000" w:usb3="00000000" w:csb0="0000019F" w:csb1="00000000"/>
    <w:embedRegular r:id="rId7" w:fontKey="{E171FCFD-924D-45C1-833F-9CAC0F42FF34}"/>
  </w:font>
  <w:font w:name="Arial">
    <w:panose1 w:val="020B0604020202020204"/>
    <w:charset w:val="00"/>
    <w:family w:val="swiss"/>
    <w:pitch w:val="variable"/>
    <w:sig w:usb0="20002A87" w:usb1="80000000" w:usb2="00000008" w:usb3="00000000" w:csb0="000001FF" w:csb1="00000000"/>
    <w:embedRegular r:id="rId8" w:fontKey="{48CDC7A5-83BF-41FA-B699-E8F321F9B1D5}"/>
  </w:font>
  <w:font w:name="Cambria">
    <w:panose1 w:val="02040503050406030204"/>
    <w:charset w:val="00"/>
    <w:family w:val="roman"/>
    <w:pitch w:val="variable"/>
    <w:sig w:usb0="A00002EF" w:usb1="4000004B" w:usb2="00000000" w:usb3="00000000" w:csb0="0000009F" w:csb1="00000000"/>
    <w:embedRegular r:id="rId9" w:fontKey="{E7E8F774-3B2B-491E-8F90-17D1FF7FC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7B3" w:rsidRDefault="009527B3">
    <w:pPr>
      <w:pStyle w:val="Footer"/>
      <w:tabs>
        <w:tab w:val="clear" w:pos="4680"/>
        <w:tab w:val="clear" w:pos="9360"/>
        <w:tab w:val="center" w:pos="2995"/>
      </w:tabs>
      <w:spacing w:before="120"/>
    </w:pPr>
    <w:r>
      <w:t>[636-</w:t>
    </w:r>
    <w:fldSimple w:instr=" PAGE  \* MERGEFORMAT ">
      <w:r w:rsidR="002E11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7B3" w:rsidRDefault="009527B3">
    <w:pPr>
      <w:pStyle w:val="Footer"/>
      <w:tabs>
        <w:tab w:val="clear" w:pos="4680"/>
        <w:tab w:val="clear" w:pos="9360"/>
        <w:tab w:val="center" w:pos="2995"/>
      </w:tabs>
      <w:spacing w:before="120"/>
    </w:pPr>
    <w:r>
      <w:t>[636]</w:t>
    </w:r>
    <w:r>
      <w:tab/>
    </w:r>
    <w:fldSimple w:instr=" PAGE  \* MERGEFORMAT ">
      <w:r w:rsidR="002E11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7B3" w:rsidRDefault="009527B3">
      <w:r>
        <w:separator/>
      </w:r>
    </w:p>
  </w:footnote>
  <w:footnote w:type="continuationSeparator" w:id="1">
    <w:p w:rsidR="009527B3" w:rsidRDefault="009527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w:rsids>
    <w:rsidRoot w:val="00EB462D"/>
    <w:rsid w:val="00281B60"/>
    <w:rsid w:val="002E11F5"/>
    <w:rsid w:val="0032799F"/>
    <w:rsid w:val="003E67FE"/>
    <w:rsid w:val="004364D9"/>
    <w:rsid w:val="005D171A"/>
    <w:rsid w:val="0079643C"/>
    <w:rsid w:val="009527B3"/>
    <w:rsid w:val="009960E3"/>
    <w:rsid w:val="00A71D15"/>
    <w:rsid w:val="00EB462D"/>
    <w:rsid w:val="00EF31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6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6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62D"/>
    <w:rPr>
      <w:rFonts w:eastAsia="Times New Roman" w:cs="Times New Roman"/>
      <w:b/>
      <w:sz w:val="30"/>
      <w:szCs w:val="20"/>
    </w:rPr>
  </w:style>
  <w:style w:type="paragraph" w:styleId="Header">
    <w:name w:val="header"/>
    <w:basedOn w:val="Normal"/>
    <w:link w:val="HeaderChar"/>
    <w:unhideWhenUsed/>
    <w:rsid w:val="00EB462D"/>
    <w:pPr>
      <w:tabs>
        <w:tab w:val="center" w:pos="4320"/>
        <w:tab w:val="right" w:pos="8640"/>
      </w:tabs>
    </w:pPr>
  </w:style>
  <w:style w:type="character" w:customStyle="1" w:styleId="HeaderChar">
    <w:name w:val="Header Char"/>
    <w:basedOn w:val="DefaultParagraphFont"/>
    <w:link w:val="Header"/>
    <w:rsid w:val="00EB462D"/>
    <w:rPr>
      <w:rFonts w:eastAsia="Times New Roman" w:cs="Times New Roman"/>
      <w:szCs w:val="20"/>
    </w:rPr>
  </w:style>
  <w:style w:type="paragraph" w:styleId="Footer">
    <w:name w:val="footer"/>
    <w:basedOn w:val="Normal"/>
    <w:link w:val="FooterChar"/>
    <w:uiPriority w:val="99"/>
    <w:unhideWhenUsed/>
    <w:rsid w:val="00EB462D"/>
    <w:pPr>
      <w:tabs>
        <w:tab w:val="center" w:pos="4680"/>
        <w:tab w:val="right" w:pos="9360"/>
      </w:tabs>
    </w:pPr>
  </w:style>
  <w:style w:type="character" w:customStyle="1" w:styleId="FooterChar">
    <w:name w:val="Footer Char"/>
    <w:basedOn w:val="DefaultParagraphFont"/>
    <w:link w:val="Footer"/>
    <w:uiPriority w:val="99"/>
    <w:rsid w:val="00EB462D"/>
    <w:rPr>
      <w:rFonts w:eastAsia="Times New Roman" w:cs="Times New Roman"/>
      <w:szCs w:val="20"/>
    </w:rPr>
  </w:style>
  <w:style w:type="character" w:styleId="PageNumber">
    <w:name w:val="page number"/>
    <w:basedOn w:val="DefaultParagraphFont"/>
    <w:uiPriority w:val="99"/>
    <w:semiHidden/>
    <w:unhideWhenUsed/>
    <w:rsid w:val="00EB462D"/>
  </w:style>
  <w:style w:type="character" w:styleId="LineNumber">
    <w:name w:val="line number"/>
    <w:basedOn w:val="DefaultParagraphFont"/>
    <w:uiPriority w:val="99"/>
    <w:semiHidden/>
    <w:unhideWhenUsed/>
    <w:rsid w:val="00EB462D"/>
  </w:style>
  <w:style w:type="paragraph" w:customStyle="1" w:styleId="BillDots">
    <w:name w:val="BillDots"/>
    <w:basedOn w:val="Normal"/>
    <w:autoRedefine/>
    <w:qFormat/>
    <w:rsid w:val="00EB46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462D"/>
    <w:pPr>
      <w:tabs>
        <w:tab w:val="right" w:pos="5904"/>
      </w:tabs>
    </w:pPr>
  </w:style>
  <w:style w:type="character" w:styleId="FootnoteReference">
    <w:name w:val="footnote reference"/>
    <w:basedOn w:val="DefaultParagraphFont"/>
    <w:semiHidden/>
    <w:rsid w:val="00EB462D"/>
    <w:rPr>
      <w:position w:val="6"/>
    </w:rPr>
  </w:style>
  <w:style w:type="character" w:customStyle="1" w:styleId="documentbody1">
    <w:name w:val="documentbody1"/>
    <w:basedOn w:val="DefaultParagraphFont"/>
    <w:rsid w:val="00EB462D"/>
    <w:rPr>
      <w:rFonts w:ascii="Verdana" w:hAnsi="Verdana" w:hint="default"/>
      <w:sz w:val="19"/>
      <w:szCs w:val="19"/>
    </w:rPr>
  </w:style>
  <w:style w:type="character" w:styleId="FollowedHyperlink">
    <w:name w:val="FollowedHyperlink"/>
    <w:basedOn w:val="DefaultParagraphFont"/>
    <w:uiPriority w:val="99"/>
    <w:semiHidden/>
    <w:unhideWhenUsed/>
    <w:rsid w:val="009960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38D1-71EB-4B0A-994A-35C05C9B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11864</Words>
  <Characters>67627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2009-03-30T19:01:00Z</cp:lastPrinted>
  <dcterms:created xsi:type="dcterms:W3CDTF">2009-04-28T22:00:00Z</dcterms:created>
  <dcterms:modified xsi:type="dcterms:W3CDTF">2009-04-28T22:00:00Z</dcterms:modified>
</cp:coreProperties>
</file>