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15-36-10 OF THE 1976 CODE OF LAWS OF SOUTH CAROLINA, TO ESTABLISH THAT A CASE DISMISSED BY A DIRECTED VERDICT OR SUMMARY JUDGMENT IS PRESUMED TO BE A PER SE FRIVOLOUS CASE, UNLESS THE COURT FINDS FOR GOOD CAUSE SHOWN IT WAS NOT FRIVOLOUS OR SANCTIONS SHOULD NOT BE IMPOSED.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15-36-10(C) of the 1976 Code of Laws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 15-36-10.</w:t>
      </w:r>
      <w:r>
        <w:rPr>
          <w:rFonts w:eastAsia="Times New Roman"/>
          <w:szCs w:val="24"/>
        </w:rPr>
        <w:tab/>
      </w:r>
      <w:r>
        <w:rPr>
          <w:rFonts w:eastAsia="Times New Roman"/>
          <w:szCs w:val="24"/>
        </w:rPr>
        <w:tab/>
        <w:t>(C)(1)</w:t>
      </w:r>
      <w:r>
        <w:rPr>
          <w:rFonts w:eastAsia="Times New Roman"/>
          <w:szCs w:val="24"/>
        </w:rPr>
        <w:tab/>
        <w:t xml:space="preserve">At the conclusion of a trial and after a verdict for or a verdict against damages has been rendered </w:t>
      </w:r>
      <w:r>
        <w:rPr>
          <w:rFonts w:eastAsia="Times New Roman"/>
          <w:strike/>
          <w:szCs w:val="24"/>
        </w:rPr>
        <w:t xml:space="preserve">or a case has been dismissed by a directed verdict, summary judgment, </w:t>
      </w:r>
      <w:r>
        <w:rPr>
          <w:rFonts w:eastAsia="Times New Roman"/>
          <w:szCs w:val="24"/>
        </w:rPr>
        <w:t>or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 xml:space="preserve">(a) a reasonable attorney in the same circumstances would believe that under the facts, his claim or defense was clearly not warranted under existing law and that a good faith or reasonable argument did not exist for the extension, modification, or reversal of existing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 xml:space="preserve">(b) a reasonable attorney in the same circumstances would believe that his procurement, initiation, continuation, or defense of the civil suit was intended merely to harass or injure the other party;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 xml:space="preserve">(c) a reasonable attorney in the same circumstances would believe that the case or defense was frivolous as not reasonably founded in fact or was interposed merely for delay, or was merely brought for a purpose other than securing proper discovery, joinder of proposed parties, or adjudication of the claim or defense upon which the proceedings are based.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 xml:space="preserve">(2) Unless the court finds by a preponderance of the evidence that an attorney, party, or pro se litigant engaged in advancing a frivolous claim or defense, the attorney, party, or pro se litigant shall not be sanctioned. </w:t>
      </w:r>
    </w:p>
    <w:p>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val="single"/>
        </w:rPr>
        <w:t>(3) A case dismissed by a directed verdict or summary judgment is presumed to be frivolous, per se, and sanctions described in subsection (G) must be ordered by the court, unless the court finds for good cause shown it was not frivolous or sanctions should not be imposed.</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64F46E-C895-4752-A37B-27F01614EF62}"/>
    <w:embedBold r:id="rId2" w:fontKey="{0F96C736-A5B9-4B5F-8586-6605407A3F48}"/>
  </w:font>
  <w:font w:name="Calibri">
    <w:panose1 w:val="020F0502020204030204"/>
    <w:charset w:val="00"/>
    <w:family w:val="swiss"/>
    <w:pitch w:val="variable"/>
    <w:sig w:usb0="A00002EF" w:usb1="4000207B" w:usb2="00000000" w:usb3="00000000" w:csb0="0000009F" w:csb1="00000000"/>
    <w:embedRegular r:id="rId3" w:fontKey="{97A0D582-219A-42D4-AB18-F9309010B794}"/>
  </w:font>
  <w:font w:name="Cambria">
    <w:panose1 w:val="02040503050406030204"/>
    <w:charset w:val="00"/>
    <w:family w:val="roman"/>
    <w:pitch w:val="variable"/>
    <w:sig w:usb0="A00002EF" w:usb1="4000004B" w:usb2="00000000" w:usb3="00000000" w:csb0="0000009F" w:csb1="00000000"/>
    <w:embedRegular r:id="rId4" w:fontKey="{562DEC8F-C26F-42BC-BCCA-D457B1DF0B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0"/>
    <w:footnote w:id="1"/>
  </w:footnotePr>
  <w:endnotePr>
    <w:endnote w:id="0"/>
    <w:endnote w:id="1"/>
  </w:endnotePr>
  <w:compat/>
  <w:docVars>
    <w:docVar w:name="clipname" w:val="JUD0044.HLA"/>
    <w:docVar w:name="CoverAttorneyInitials" w:val="HLA"/>
    <w:docVar w:name="CoverAttorneyLastName" w:val="Anderson"/>
    <w:docVar w:name="CoverBillType" w:val="b"/>
    <w:docVar w:name="DraftFileName" w:val="JUD0044.HLA.DOCX"/>
    <w:docVar w:name="DraftStenoName" w:val="Craft"/>
    <w:docVar w:name="dvBillNumber" w:val="638"/>
    <w:docVar w:name="dvBillNumberPrefix" w:val="S. "/>
    <w:docVar w:name="dvOriginalBody" w:val="Senate"/>
    <w:docVar w:name="fulldraftpath" w:val="L:\S-JUD\BILLS\McConnell\JUD0044.HLA.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ANDERSONH</dc:creator>
  <cp:keywords/>
  <dc:description/>
  <cp:lastModifiedBy>NSC</cp:lastModifiedBy>
  <cp:revision>2</cp:revision>
  <cp:lastPrinted>2009-03-23T18:39:00Z</cp:lastPrinted>
  <dcterms:created xsi:type="dcterms:W3CDTF">2009-03-31T19:12:00Z</dcterms:created>
  <dcterms:modified xsi:type="dcterms:W3CDTF">2009-03-31T19:12:00Z</dcterms:modified>
</cp:coreProperties>
</file>