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szCs w:val="24"/>
          <w:u w:color="000000" w:themeColor="text1"/>
        </w:rPr>
        <w:t>TO AMEND SECTION 62</w:t>
      </w:r>
      <w:r>
        <w:rPr>
          <w:color w:val="000000" w:themeColor="text1"/>
          <w:szCs w:val="24"/>
          <w:u w:color="000000" w:themeColor="text1"/>
        </w:rPr>
        <w:noBreakHyphen/>
        <w:t>1</w:t>
      </w:r>
      <w:r>
        <w:rPr>
          <w:color w:val="000000" w:themeColor="text1"/>
          <w:szCs w:val="24"/>
          <w:u w:color="000000" w:themeColor="text1"/>
        </w:rPr>
        <w:noBreakHyphen/>
        <w:t>308 OF THE 1976 CODE, RELATING TO APPEALS FROM THE PROBATE COURT, TO PROVIDE THAT THE COURT OF APPEALS WILL DIRECTLY HEAR APPEALS FROM THE PROBATE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szCs w:val="24"/>
          <w:u w:color="000000" w:themeColor="text1"/>
        </w:rPr>
        <w:t>Section 62</w:t>
      </w:r>
      <w:r>
        <w:rPr>
          <w:color w:val="000000" w:themeColor="text1"/>
          <w:szCs w:val="24"/>
          <w:u w:color="000000" w:themeColor="text1"/>
        </w:rPr>
        <w:noBreakHyphen/>
        <w:t>1</w:t>
      </w:r>
      <w:r>
        <w:rPr>
          <w:color w:val="000000" w:themeColor="text1"/>
          <w:szCs w:val="24"/>
          <w:u w:color="000000" w:themeColor="text1"/>
        </w:rPr>
        <w:noBreakHyphen/>
        <w:t>308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Pr>
          <w:strike/>
          <w:color w:val="000000" w:themeColor="text1"/>
          <w:szCs w:val="24"/>
          <w:u w:color="000000" w:themeColor="text1"/>
        </w:rPr>
        <w:t>Except as provided in subsection (g), appeals</w:t>
      </w:r>
      <w:r>
        <w:rPr>
          <w:color w:val="000000" w:themeColor="text1"/>
          <w:szCs w:val="24"/>
          <w:u w:color="000000" w:themeColor="text1"/>
        </w:rPr>
        <w:t xml:space="preserve"> </w:t>
      </w:r>
      <w:r>
        <w:rPr>
          <w:color w:val="000000" w:themeColor="text1"/>
          <w:szCs w:val="24"/>
          <w:u w:val="single" w:color="000000" w:themeColor="text1"/>
        </w:rPr>
        <w:t>Appeals</w:t>
      </w:r>
      <w:r>
        <w:rPr>
          <w:color w:val="000000" w:themeColor="text1"/>
          <w:szCs w:val="24"/>
          <w:u w:color="000000" w:themeColor="text1"/>
        </w:rPr>
        <w:t xml:space="preserve"> from the probate court must be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and are governed by the following rules: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(a)</w:t>
      </w:r>
      <w:r>
        <w:rPr>
          <w:color w:val="000000" w:themeColor="text1"/>
          <w:szCs w:val="24"/>
          <w:u w:color="000000" w:themeColor="text1"/>
        </w:rPr>
        <w:tab/>
        <w:t xml:space="preserve">A person interested in a final order, sentence, or decree of a probate court and considering himself injured by it may appeal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w:t>
      </w:r>
      <w:r>
        <w:rPr>
          <w:strike/>
          <w:color w:val="000000" w:themeColor="text1"/>
          <w:szCs w:val="24"/>
          <w:u w:color="000000" w:themeColor="text1"/>
        </w:rPr>
        <w:t>in the same county</w:t>
      </w:r>
      <w:r>
        <w:rPr>
          <w:color w:val="000000" w:themeColor="text1"/>
          <w:szCs w:val="24"/>
          <w:u w:color="000000" w:themeColor="text1"/>
        </w:rPr>
        <w:t xml:space="preserve">.  The notice of intention to appeal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must be filed in the office of the </w:t>
      </w:r>
      <w:r>
        <w:rPr>
          <w:strike/>
          <w:color w:val="000000" w:themeColor="text1"/>
          <w:szCs w:val="24"/>
          <w:u w:color="000000" w:themeColor="text1"/>
        </w:rPr>
        <w:t>circuit</w:t>
      </w:r>
      <w:r>
        <w:rPr>
          <w:color w:val="000000" w:themeColor="text1"/>
          <w:szCs w:val="24"/>
          <w:u w:color="000000" w:themeColor="text1"/>
        </w:rPr>
        <w:t xml:space="preserve"> </w:t>
      </w:r>
      <w:r>
        <w:rPr>
          <w:color w:val="000000" w:themeColor="text1"/>
          <w:szCs w:val="24"/>
          <w:u w:val="single" w:color="000000" w:themeColor="text1"/>
        </w:rPr>
        <w:t>probate</w:t>
      </w:r>
      <w:r>
        <w:rPr>
          <w:color w:val="000000" w:themeColor="text1"/>
          <w:szCs w:val="24"/>
          <w:u w:color="000000" w:themeColor="text1"/>
        </w:rPr>
        <w:t xml:space="preserve"> court </w:t>
      </w:r>
      <w:r>
        <w:rPr>
          <w:strike/>
          <w:color w:val="000000" w:themeColor="text1"/>
          <w:szCs w:val="24"/>
          <w:u w:color="000000" w:themeColor="text1"/>
        </w:rPr>
        <w:t>and in the office of the probate court</w:t>
      </w:r>
      <w:r>
        <w:rPr>
          <w:color w:val="000000" w:themeColor="text1"/>
          <w:szCs w:val="24"/>
          <w:u w:color="000000" w:themeColor="text1"/>
        </w:rPr>
        <w:t xml:space="preserve"> and a copy served on all parties within ten days after receipt of written notice of the appealed from order, sentence, or decree of the probate court.  The grounds of appeal must be filed in the office of the probate court and a copy served on all parties within forty</w:t>
      </w:r>
      <w:r>
        <w:rPr>
          <w:color w:val="000000" w:themeColor="text1"/>
          <w:szCs w:val="24"/>
          <w:u w:color="000000" w:themeColor="text1"/>
        </w:rPr>
        <w:noBreakHyphen/>
        <w:t xml:space="preserve">five days after receipt of written notice of the order, sentence, or decree of the probate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Within thirty days after the grounds of appeal </w:t>
      </w:r>
      <w:r>
        <w:rPr>
          <w:strike/>
          <w:color w:val="000000" w:themeColor="text1"/>
          <w:szCs w:val="24"/>
          <w:u w:color="000000" w:themeColor="text1"/>
        </w:rPr>
        <w:t>has</w:t>
      </w:r>
      <w:r>
        <w:rPr>
          <w:color w:val="000000" w:themeColor="text1"/>
          <w:szCs w:val="24"/>
          <w:u w:color="000000" w:themeColor="text1"/>
        </w:rPr>
        <w:t xml:space="preserve"> </w:t>
      </w:r>
      <w:r>
        <w:rPr>
          <w:color w:val="000000" w:themeColor="text1"/>
          <w:szCs w:val="24"/>
          <w:u w:val="single" w:color="000000" w:themeColor="text1"/>
        </w:rPr>
        <w:t>have</w:t>
      </w:r>
      <w:r>
        <w:rPr>
          <w:color w:val="000000" w:themeColor="text1"/>
          <w:szCs w:val="24"/>
          <w:u w:color="000000" w:themeColor="text1"/>
        </w:rPr>
        <w:t xml:space="preserve"> been filed in the office of the probate court, as provided in subsection (a), the probate court shall make a return to the </w:t>
      </w:r>
      <w:r>
        <w:rPr>
          <w:strike/>
          <w:color w:val="000000" w:themeColor="text1"/>
          <w:szCs w:val="24"/>
          <w:u w:color="000000" w:themeColor="text1"/>
        </w:rPr>
        <w:t>appellate</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of the testimony, proceedings, and judgment and file it in the </w:t>
      </w:r>
      <w:r>
        <w:rPr>
          <w:strike/>
          <w:color w:val="000000" w:themeColor="text1"/>
          <w:szCs w:val="24"/>
          <w:u w:color="000000" w:themeColor="text1"/>
        </w:rPr>
        <w:t>appellate</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Upon final disposition of the appeal, all papers included in the return must be forwarded to the probate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(c)</w:t>
      </w:r>
      <w:r>
        <w:rPr>
          <w:color w:val="000000" w:themeColor="text1"/>
          <w:szCs w:val="24"/>
          <w:u w:color="000000" w:themeColor="text1"/>
        </w:rPr>
        <w:tab/>
        <w:t xml:space="preserve">When an appeal according to law is taken from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sentence or decree of the probate court, all proceedings in pursuance of the order, sentence, or decree appealed from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cease until the judgment of the </w:t>
      </w:r>
      <w:r>
        <w:rPr>
          <w:strike/>
          <w:color w:val="000000" w:themeColor="text1"/>
          <w:szCs w:val="24"/>
          <w:u w:color="000000" w:themeColor="text1"/>
        </w:rPr>
        <w:t>circuit court,</w:t>
      </w:r>
      <w:r>
        <w:rPr>
          <w:color w:val="000000" w:themeColor="text1"/>
          <w:szCs w:val="24"/>
          <w:u w:color="000000" w:themeColor="text1"/>
        </w:rPr>
        <w:t xml:space="preserve"> court of appeals</w:t>
      </w:r>
      <w:r>
        <w:rPr>
          <w:strike/>
          <w:color w:val="000000" w:themeColor="text1"/>
          <w:szCs w:val="24"/>
          <w:u w:color="000000" w:themeColor="text1"/>
        </w:rPr>
        <w:t>,</w:t>
      </w:r>
      <w:r>
        <w:rPr>
          <w:color w:val="000000" w:themeColor="text1"/>
          <w:szCs w:val="24"/>
          <w:u w:color="000000" w:themeColor="text1"/>
        </w:rPr>
        <w:t xml:space="preserve"> or Supreme Court is had.  If the appellant, in writing, waives his appeal before the entry of the judgment, proceedings may be had in the probate court as if no appeal had been taken.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When the return has been filed in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as provided in subsection (b), the court shall hear and determine the appeal according to the rules of law.  The hearing must be strictly on appeal and </w:t>
      </w:r>
      <w:r>
        <w:rPr>
          <w:strike/>
          <w:color w:val="000000" w:themeColor="text1"/>
          <w:szCs w:val="24"/>
          <w:u w:color="000000" w:themeColor="text1"/>
        </w:rPr>
        <w:t>no</w:t>
      </w:r>
      <w:r>
        <w:rPr>
          <w:color w:val="000000" w:themeColor="text1"/>
          <w:szCs w:val="24"/>
          <w:u w:color="000000" w:themeColor="text1"/>
        </w:rPr>
        <w:t xml:space="preserve"> new evidence may </w:t>
      </w:r>
      <w:r>
        <w:rPr>
          <w:color w:val="000000" w:themeColor="text1"/>
          <w:szCs w:val="24"/>
          <w:u w:val="single" w:color="000000" w:themeColor="text1"/>
        </w:rPr>
        <w:t>not</w:t>
      </w:r>
      <w:r>
        <w:rPr>
          <w:color w:val="000000" w:themeColor="text1"/>
          <w:szCs w:val="24"/>
          <w:u w:color="000000" w:themeColor="text1"/>
        </w:rPr>
        <w:t xml:space="preserve"> be presented.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The final decision and judgment in cases appealed</w:t>
      </w:r>
      <w:r>
        <w:rPr>
          <w:strike/>
          <w:color w:val="000000" w:themeColor="text1"/>
          <w:szCs w:val="24"/>
          <w:u w:color="000000" w:themeColor="text1"/>
        </w:rPr>
        <w:t>, as provided in this code, 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certified to the probate court by the </w:t>
      </w:r>
      <w:r>
        <w:rPr>
          <w:strike/>
          <w:color w:val="000000" w:themeColor="text1"/>
          <w:szCs w:val="24"/>
          <w:u w:color="000000" w:themeColor="text1"/>
        </w:rPr>
        <w:t>circuit court,</w:t>
      </w:r>
      <w:r>
        <w:rPr>
          <w:color w:val="000000" w:themeColor="text1"/>
          <w:szCs w:val="24"/>
          <w:u w:color="000000" w:themeColor="text1"/>
        </w:rPr>
        <w:t xml:space="preserve"> court of appeals</w:t>
      </w:r>
      <w:r>
        <w:rPr>
          <w:strike/>
          <w:color w:val="000000" w:themeColor="text1"/>
          <w:szCs w:val="24"/>
          <w:u w:color="000000" w:themeColor="text1"/>
        </w:rPr>
        <w:t>,</w:t>
      </w:r>
      <w:r>
        <w:rPr>
          <w:color w:val="000000" w:themeColor="text1"/>
          <w:szCs w:val="24"/>
          <w:u w:color="000000" w:themeColor="text1"/>
        </w:rPr>
        <w:t xml:space="preserve"> or Supreme Court, as the case may be, and the same proceedings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had in the probate court as though the decision had been made in the probate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ab/>
      </w:r>
      <w:r>
        <w:rPr>
          <w:strike/>
          <w:color w:val="000000" w:themeColor="text1"/>
          <w:szCs w:val="24"/>
          <w:u w:color="000000" w:themeColor="text1"/>
        </w:rPr>
        <w:t>A judge of a probate court must not be admitted to have any voice in judging or determining an appeal from his decision or be permitted to act as attorney or counsel.</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(g)</w:t>
      </w:r>
      <w:r>
        <w:rPr>
          <w:color w:val="000000" w:themeColor="text1"/>
          <w:szCs w:val="24"/>
          <w:u w:color="000000" w:themeColor="text1"/>
        </w:rPr>
        <w:tab/>
      </w:r>
      <w:r>
        <w:rPr>
          <w:strike/>
          <w:color w:val="000000" w:themeColor="text1"/>
          <w:szCs w:val="24"/>
          <w:u w:color="000000" w:themeColor="text1"/>
        </w:rPr>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14C0F-FC81-456A-AB33-A3E533CA2D88}"/>
    <w:embedBold r:id="rId2" w:fontKey="{8C5EEE5A-C381-455E-934E-25953AB7F5F7}"/>
  </w:font>
  <w:font w:name="Calibri">
    <w:panose1 w:val="020F0502020204030204"/>
    <w:charset w:val="00"/>
    <w:family w:val="swiss"/>
    <w:pitch w:val="variable"/>
    <w:sig w:usb0="A00002EF" w:usb1="4000207B" w:usb2="00000000" w:usb3="00000000" w:csb0="0000009F" w:csb1="00000000"/>
    <w:embedRegular r:id="rId3" w:fontKey="{EEE176C9-196B-48DD-BF64-1903062BB0E2}"/>
  </w:font>
  <w:font w:name="Cambria">
    <w:panose1 w:val="02040503050406030204"/>
    <w:charset w:val="00"/>
    <w:family w:val="roman"/>
    <w:pitch w:val="variable"/>
    <w:sig w:usb0="A00002EF" w:usb1="4000004B" w:usb2="00000000" w:usb3="00000000" w:csb0="0000009F" w:csb1="00000000"/>
    <w:embedRegular r:id="rId4" w:fontKey="{85525234-C1AD-4B9D-A52E-EDCF8C734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10PROB.MRH.LAM"/>
    <w:docVar w:name="CoverAttorneyInitials" w:val="MRH"/>
    <w:docVar w:name="CoverAttorneyLastName" w:val="Hitchcock"/>
    <w:docVar w:name="CoverBillType" w:val="b"/>
    <w:docVar w:name="CoverSenator" w:val="LAM"/>
    <w:docVar w:name="dvBillNumber" w:val="644"/>
    <w:docVar w:name="dvBillNumberPrefix" w:val="S. "/>
    <w:docVar w:name="dvOriginalBody" w:val="Senate"/>
    <w:docVar w:name="fulldraftpath" w:val="L:\S-RES\LAM\010PROB.MRH.LA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2764</Characters>
  <Application>Microsoft Office Word</Application>
  <DocSecurity>0</DocSecurity>
  <Lines>23</Lines>
  <Paragraphs>6</Paragraphs>
  <ScaleCrop>false</ScaleCrop>
  <Company> </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2009-03-30T18:52:00Z</cp:lastPrinted>
  <dcterms:created xsi:type="dcterms:W3CDTF">2009-03-31T19:13:00Z</dcterms:created>
  <dcterms:modified xsi:type="dcterms:W3CDTF">2009-03-31T19:13:00Z</dcterms:modified>
</cp:coreProperties>
</file>