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101, TITLE 59 OF THE 1976 CODE, RELATING TO PUBLIC INSTITUTIONS OF HIGHER LEARNING, BY ADDING SECTION 59</w:t>
      </w:r>
      <w:r>
        <w:rPr>
          <w:rFonts w:eastAsia="Times New Roman"/>
        </w:rPr>
        <w:noBreakHyphen/>
        <w:t>101</w:t>
      </w:r>
      <w:r>
        <w:rPr>
          <w:rFonts w:eastAsia="Times New Roman"/>
        </w:rPr>
        <w:noBreakHyphen/>
        <w:t>605, TO PROVIDE FOR A HIGHER EDUCATION BASE STUDENT COST AND TO PROVIDE THAT A PUBLIC INSTITUTION OF HIGHER LEARNING MUST BE FUNDED BY USING THE BASE STUDENT COST.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Chapter 101, Title 59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59</w:t>
      </w:r>
      <w:r>
        <w:rPr>
          <w:rFonts w:eastAsia="Times New Roman"/>
        </w:rPr>
        <w:noBreakHyphen/>
        <w:t>101</w:t>
      </w:r>
      <w:r>
        <w:rPr>
          <w:rFonts w:eastAsia="Times New Roman"/>
        </w:rPr>
        <w:noBreakHyphen/>
        <w:t>605.</w:t>
      </w:r>
      <w:r>
        <w:rPr>
          <w:rFonts w:eastAsia="Times New Roman"/>
        </w:rPr>
        <w:tab/>
        <w:t>Each fiscal year the General Assembly shall establish a higher education base student cost.  Each fiscal year a public higher institution of higher learning must only be appropriated an amount of state general fund revenue equal to the aggregate of the number of full</w:t>
      </w:r>
      <w:r>
        <w:rPr>
          <w:rFonts w:eastAsia="Times New Roman"/>
        </w:rPr>
        <w:noBreakHyphen/>
        <w:t>time students projected to attend the institution in the upcoming fiscal year multiplied by the higher education base student cost plus the number of part</w:t>
      </w:r>
      <w:r>
        <w:rPr>
          <w:rFonts w:eastAsia="Times New Roman"/>
        </w:rPr>
        <w:noBreakHyphen/>
        <w:t>time students projected to attend the institution in the upcoming fiscal year multiplied by fifty percent of the base student cost.”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ABD3C3-A4A6-4107-B7ED-899A8C498E02}"/>
    <w:embedBold r:id="rId2" w:fontKey="{287BE495-F13D-416D-AC54-C499B2C44F3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8706CC4-48A8-4B3A-8700-C29F93CF2B6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4F14CA1-5AB6-4991-B869-E21D9DCBBD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0"/>
    <w:footnote w:id="1"/>
  </w:footnotePr>
  <w:endnotePr>
    <w:endnote w:id="0"/>
    <w:endnote w:id="1"/>
  </w:endnotePr>
  <w:compat/>
  <w:docVars>
    <w:docVar w:name="clipname" w:val="022HIGH.MRH.LB"/>
    <w:docVar w:name="CoverAttorneyInitials" w:val="MRH"/>
    <w:docVar w:name="CoverAttorneyLastName" w:val="Hitchcock"/>
    <w:docVar w:name="CoverBillType" w:val="b"/>
    <w:docVar w:name="CoverSenator" w:val="LB"/>
    <w:docVar w:name="dvBillNumber" w:val="657"/>
    <w:docVar w:name="dvBillNumberPrefix" w:val="S. "/>
    <w:docVar w:name="dvOriginalBody" w:val="Senate"/>
    <w:docVar w:name="fulldraftpath" w:val="L:\S-RES\LB\022HIGH.MRH.LB.DOCX"/>
    <w:docVar w:name="NameofBody" w:val="S"/>
    <w:docVar w:name="vgroup2" w:val="S-R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MRH</dc:creator>
  <cp:keywords/>
  <dc:description/>
  <cp:lastModifiedBy>NSC</cp:lastModifiedBy>
  <cp:revision>2</cp:revision>
  <dcterms:created xsi:type="dcterms:W3CDTF">2009-04-01T18:29:00Z</dcterms:created>
  <dcterms:modified xsi:type="dcterms:W3CDTF">2009-04-01T18:29:00Z</dcterms:modified>
</cp:coreProperties>
</file>