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6</w:t>
      </w:r>
      <w:r>
        <w:rPr>
          <w:rFonts w:eastAsia="Times New Roman"/>
        </w:rPr>
        <w:noBreakHyphen/>
        <w:t>5</w:t>
      </w:r>
      <w:r>
        <w:rPr>
          <w:rFonts w:eastAsia="Times New Roman"/>
        </w:rPr>
        <w:noBreakHyphen/>
        <w:t xml:space="preserve">10 OF THE 1976 CODE, RELATING TO ENTITIES IN WHICH </w:t>
      </w:r>
      <w:r>
        <w:rPr>
          <w:rFonts w:eastAsia="Times New Roman"/>
          <w:color w:val="000000" w:themeColor="text1"/>
          <w:szCs w:val="24"/>
          <w:u w:color="000000" w:themeColor="text1"/>
        </w:rPr>
        <w:t>LOCAL GOVERNMENT UNITS AND POLITICAL SUBDIVISIONS</w:t>
      </w:r>
      <w:r>
        <w:rPr>
          <w:rFonts w:eastAsia="Times New Roman"/>
        </w:rPr>
        <w:t xml:space="preserve"> ARE ALLOWED TO INVEST, TO ALLOW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LOCAL GOVERNMENT UNITS AND POLITICAL SUBDIVISIONS TO INVEST IN </w:t>
      </w:r>
      <w:r>
        <w:t>OBLIGATIONS OF A CORPORATION, STATE, OR POLITICAL SUBDIVISION DENOMINATED IN UNITED STATES DOLLARS, IF THE OBLIGATIONS BEAR AN INVESTMENT GRADE RATING OF AT LEAST TWO NATIONALLY RECOGNIZED RATING SERVICES.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>
        <w:rPr>
          <w:rFonts w:eastAsia="Times New Roman"/>
          <w:color w:val="000000" w:themeColor="text1"/>
          <w:szCs w:val="24"/>
          <w:u w:color="000000" w:themeColor="text1"/>
        </w:rPr>
        <w:t>Section 6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5</w:t>
      </w:r>
      <w:r>
        <w:rPr>
          <w:rFonts w:eastAsia="Times New Roman"/>
          <w:color w:val="000000" w:themeColor="text1"/>
          <w:szCs w:val="24"/>
          <w:u w:color="000000" w:themeColor="text1"/>
        </w:rPr>
        <w:noBreakHyphen/>
        <w:t>10(a) of the 1976 Code is amended by adding an appropriately numbered item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  <w:t>“</w:t>
      </w:r>
      <w:r>
        <w:t>(9)</w:t>
      </w:r>
      <w:r>
        <w:tab/>
        <w:t>Obligations of a corporation, state, or political subdivision denominated in United States dollars, if the obligations bear an investment grade rating of at least two nationally recognized rating services.”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AA6948-DA72-4E30-A629-6ED6E0051A9E}"/>
    <w:embedBold r:id="rId2" w:fontKey="{94EF861B-ECCB-4516-8F52-2BF43D47042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49B81FF-5C4A-4880-91F9-B6558597677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7EA648C-6EF0-42FB-86E3-AE1044E79D4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0"/>
    <w:footnote w:id="1"/>
  </w:footnotePr>
  <w:endnotePr>
    <w:endnote w:id="0"/>
    <w:endnote w:id="1"/>
  </w:endnotePr>
  <w:compat/>
  <w:docVars>
    <w:docVar w:name="clipname" w:val="012MUNI.TCM.JL"/>
    <w:docVar w:name="CoverAttorneyInitials" w:val="TCM"/>
    <w:docVar w:name="CoverAttorneyLastName" w:val="Miles"/>
    <w:docVar w:name="CoverBillType" w:val="b"/>
    <w:docVar w:name="CoverSenator" w:val="JL"/>
    <w:docVar w:name="dvBillNumber" w:val="706"/>
    <w:docVar w:name="dvBillNumberPrefix" w:val="S. "/>
    <w:docVar w:name="dvOriginalBody" w:val="Senate"/>
    <w:docVar w:name="fulldraftpath" w:val="L:\S-RESMIN\DRAFTING\JL\012MUNI.TCM.JL.DOCX"/>
    <w:docVar w:name="NameofBody" w:val="S"/>
    <w:docVar w:name="vgroup2" w:val="S-RESMIN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TEMMILES</dc:creator>
  <cp:keywords/>
  <dc:description/>
  <cp:lastModifiedBy>NSC</cp:lastModifiedBy>
  <cp:revision>2</cp:revision>
  <cp:lastPrinted>2009-04-13T16:57:00Z</cp:lastPrinted>
  <dcterms:created xsi:type="dcterms:W3CDTF">2009-04-14T16:55:00Z</dcterms:created>
  <dcterms:modified xsi:type="dcterms:W3CDTF">2009-04-14T16:55:00Z</dcterms:modified>
</cp:coreProperties>
</file>