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454" w:rsidRDefault="006F0454">
      <w:pPr>
        <w:pStyle w:val="BillDots"/>
      </w:pPr>
      <w:r>
        <w:rPr>
          <w:strike/>
        </w:rPr>
        <w:t>Indicates Matter Stricken</w:t>
      </w:r>
    </w:p>
    <w:p w:rsidR="006F0454" w:rsidRPr="006F0454" w:rsidRDefault="006F0454">
      <w:pPr>
        <w:pStyle w:val="BillDots"/>
      </w:pPr>
      <w:r>
        <w:rPr>
          <w:u w:val="single"/>
        </w:rPr>
        <w:t>Indicates New Matter</w:t>
      </w:r>
    </w:p>
    <w:p w:rsidR="006F0454" w:rsidRDefault="006F0454">
      <w:pPr>
        <w:pStyle w:val="BillDots"/>
      </w:pPr>
    </w:p>
    <w:p w:rsidR="00454F1C" w:rsidRDefault="00454F1C" w:rsidP="006F0454">
      <w:pPr>
        <w:pStyle w:val="BillDots"/>
        <w:tabs>
          <w:tab w:val="clear" w:pos="216"/>
          <w:tab w:val="clear" w:pos="432"/>
          <w:tab w:val="clear" w:pos="648"/>
          <w:tab w:val="clear" w:pos="864"/>
          <w:tab w:val="clear" w:pos="1080"/>
          <w:tab w:val="clear" w:pos="1296"/>
          <w:tab w:val="clear" w:pos="5904"/>
          <w:tab w:val="right" w:pos="5933"/>
        </w:tabs>
      </w:pPr>
    </w:p>
    <w:p w:rsidR="00454F1C" w:rsidRDefault="00454F1C" w:rsidP="006F0454">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454F1C" w:rsidRDefault="00454F1C" w:rsidP="006F0454">
      <w:pPr>
        <w:pStyle w:val="BillDots"/>
        <w:tabs>
          <w:tab w:val="clear" w:pos="216"/>
          <w:tab w:val="clear" w:pos="432"/>
          <w:tab w:val="clear" w:pos="648"/>
          <w:tab w:val="clear" w:pos="864"/>
          <w:tab w:val="clear" w:pos="1080"/>
          <w:tab w:val="clear" w:pos="1296"/>
          <w:tab w:val="clear" w:pos="5904"/>
          <w:tab w:val="right" w:pos="5933"/>
        </w:tabs>
      </w:pPr>
      <w:r>
        <w:t>Amt. No. 1 (council\dka\3977htc10)</w:t>
      </w:r>
    </w:p>
    <w:p w:rsidR="00454F1C" w:rsidRDefault="00454F1C" w:rsidP="006F0454">
      <w:pPr>
        <w:pStyle w:val="BillDots"/>
        <w:tabs>
          <w:tab w:val="clear" w:pos="216"/>
          <w:tab w:val="clear" w:pos="432"/>
          <w:tab w:val="clear" w:pos="648"/>
          <w:tab w:val="clear" w:pos="864"/>
          <w:tab w:val="clear" w:pos="1080"/>
          <w:tab w:val="clear" w:pos="1296"/>
          <w:tab w:val="clear" w:pos="5904"/>
          <w:tab w:val="right" w:pos="5933"/>
        </w:tabs>
      </w:pPr>
      <w:r>
        <w:t>Amt. No. 2 (council\ggs\22594sd10)</w:t>
      </w:r>
    </w:p>
    <w:p w:rsidR="00454F1C" w:rsidRDefault="00454F1C" w:rsidP="006F0454">
      <w:pPr>
        <w:pStyle w:val="BillDots"/>
        <w:tabs>
          <w:tab w:val="clear" w:pos="216"/>
          <w:tab w:val="clear" w:pos="432"/>
          <w:tab w:val="clear" w:pos="648"/>
          <w:tab w:val="clear" w:pos="864"/>
          <w:tab w:val="clear" w:pos="1080"/>
          <w:tab w:val="clear" w:pos="1296"/>
          <w:tab w:val="clear" w:pos="5904"/>
          <w:tab w:val="right" w:pos="5933"/>
        </w:tabs>
      </w:pPr>
      <w:r>
        <w:t>May 4, 2010</w:t>
      </w:r>
    </w:p>
    <w:p w:rsidR="00454F1C" w:rsidRDefault="00454F1C" w:rsidP="006F0454">
      <w:pPr>
        <w:pStyle w:val="BillDots"/>
        <w:tabs>
          <w:tab w:val="clear" w:pos="216"/>
          <w:tab w:val="clear" w:pos="432"/>
          <w:tab w:val="clear" w:pos="648"/>
          <w:tab w:val="clear" w:pos="864"/>
          <w:tab w:val="clear" w:pos="1080"/>
          <w:tab w:val="clear" w:pos="1296"/>
          <w:tab w:val="clear" w:pos="5904"/>
          <w:tab w:val="right" w:pos="5933"/>
        </w:tabs>
      </w:pPr>
    </w:p>
    <w:p w:rsidR="006F0454" w:rsidRPr="006F0454" w:rsidRDefault="006F0454" w:rsidP="006F0454">
      <w:pPr>
        <w:pStyle w:val="BillDots"/>
        <w:tabs>
          <w:tab w:val="clear" w:pos="216"/>
          <w:tab w:val="clear" w:pos="432"/>
          <w:tab w:val="clear" w:pos="648"/>
          <w:tab w:val="clear" w:pos="864"/>
          <w:tab w:val="clear" w:pos="1080"/>
          <w:tab w:val="clear" w:pos="1296"/>
          <w:tab w:val="clear" w:pos="5904"/>
          <w:tab w:val="right" w:pos="5933"/>
        </w:tabs>
      </w:pPr>
      <w:r>
        <w:tab/>
      </w:r>
      <w:r>
        <w:rPr>
          <w:b/>
          <w:sz w:val="36"/>
        </w:rPr>
        <w:t>S. 728</w:t>
      </w:r>
    </w:p>
    <w:p w:rsidR="006F0454" w:rsidRDefault="006F0454">
      <w:pPr>
        <w:pStyle w:val="BillDots"/>
      </w:pPr>
    </w:p>
    <w:p w:rsidR="006F0454" w:rsidRDefault="006F0454" w:rsidP="006F0454">
      <w:pPr>
        <w:pStyle w:val="BillDots"/>
        <w:jc w:val="center"/>
      </w:pPr>
      <w:r>
        <w:t>Introduced by Senators Hayes, Fair and Ford</w:t>
      </w:r>
    </w:p>
    <w:p w:rsidR="006F0454" w:rsidRDefault="006F0454">
      <w:pPr>
        <w:pStyle w:val="BillDots"/>
      </w:pPr>
    </w:p>
    <w:p w:rsidR="006F0454" w:rsidRDefault="006F0454" w:rsidP="00981414">
      <w:pPr>
        <w:pStyle w:val="BillDots"/>
        <w:tabs>
          <w:tab w:val="clear" w:pos="216"/>
          <w:tab w:val="clear" w:pos="432"/>
          <w:tab w:val="clear" w:pos="648"/>
          <w:tab w:val="clear" w:pos="864"/>
          <w:tab w:val="clear" w:pos="1080"/>
          <w:tab w:val="clear" w:pos="1296"/>
          <w:tab w:val="clear" w:pos="5904"/>
          <w:tab w:val="right" w:pos="5933"/>
        </w:tabs>
      </w:pPr>
      <w:r>
        <w:t>S. Printed 4/15/10--H.</w:t>
      </w:r>
    </w:p>
    <w:p w:rsidR="006F0454" w:rsidRDefault="006F0454">
      <w:pPr>
        <w:pStyle w:val="BillDots"/>
      </w:pPr>
      <w:r>
        <w:t>Read the first time February 4, 2010.</w:t>
      </w:r>
    </w:p>
    <w:p w:rsidR="006F0454" w:rsidRPr="006F0454" w:rsidRDefault="006F0454" w:rsidP="006F0454">
      <w:pPr>
        <w:pStyle w:val="BillDots"/>
        <w:jc w:val="center"/>
      </w:pPr>
      <w:r>
        <w:rPr>
          <w:u w:val="single"/>
        </w:rPr>
        <w:t>            </w:t>
      </w:r>
    </w:p>
    <w:p w:rsidR="00B130CE" w:rsidRPr="00B130CE" w:rsidRDefault="00B130CE">
      <w:pPr>
        <w:pStyle w:val="BillDots"/>
        <w:sectPr w:rsidR="00B130CE" w:rsidRPr="00B130CE" w:rsidSect="00B130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28DD" w:rsidRDefault="005128DD">
      <w:pPr>
        <w:pStyle w:val="BillDot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65</w:t>
      </w:r>
      <w:r>
        <w:noBreakHyphen/>
        <w:t>30, CODE OF LAWS OF SOUTH CAROLINA, 1976, RELATING TO THE ENTITLEMENT TO TAX CREDITS UNDER THE TEXTILES COMMUNITIES REVITALIZATION ACT, SO AS TO FURTHER PROVIDE FOR THE APPLICABILITY OF SPECIFIC REQUIREMENTS FOR TEXTILE MILL SITES ACQUIRED BEFORE AND AFTER 2007, TO REVISE THE ALLOWABLE AMOUNT OF THE CREDITS IN CERTAIN INSTANCES,  TO PROVIDE THAT THE TAX CREDITS ALLOWED INCLUDE CREDITS AGAINST INSURANCE PREMIUM TAXES, TO MAKE A TECHNICAL CORRECTION, AND TO FURTHER PROVIDE FOR THE MANNER IN WHICH THESE CREDITS ARE VESTED IN A TAXPAYER AND MAY BE ALLOCATED TO PARTNERS OR MEMBERS; BY ADDING SECTION 12</w:t>
      </w:r>
      <w:r>
        <w:noBreakHyphen/>
        <w:t>65</w:t>
      </w:r>
      <w:r>
        <w:noBreakHyphen/>
        <w:t>50 SO AS TO PROVIDE TRANSITION RULES APPLICABLE TO SPECIFIC MILL SITES; AND BY ADDING SECTION 12</w:t>
      </w:r>
      <w:r>
        <w:noBreakHyphen/>
        <w:t>65</w:t>
      </w:r>
      <w:r>
        <w:noBreakHyphen/>
        <w:t>60 SO AS TO FURTHER PROVIDE FOR THE ELIGIBILITY CERTIFICATION PROCESS.</w:t>
      </w:r>
    </w:p>
    <w:p w:rsidR="00454F1C" w:rsidRDefault="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65</w:t>
      </w:r>
      <w:r>
        <w:noBreakHyphen/>
        <w:t>30 of the 1976</w:t>
      </w:r>
      <w:r w:rsidR="00F55069">
        <w:t xml:space="preserve"> Code</w:t>
      </w:r>
      <w:r>
        <w:t>, as added by Act 313 of 2008, is amended to read:</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noBreakHyphen/>
        <w:t>65</w:t>
      </w:r>
      <w:r>
        <w:noBreakHyphen/>
        <w:t>30.</w:t>
      </w:r>
      <w:r>
        <w:tab/>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Subject to the terms and conditions of this chapter, a taxpayer who rehabilitates a textile mill site is eligible for either: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 credit against real property taxes levied by local taxing entities;  or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 credit against income taxes imposed pursuant to Chapter 6 and Chapter 11 of this title or corporate license fees pursuant to Chapter 20 of this title, or </w:t>
      </w:r>
      <w:r>
        <w:rPr>
          <w:rFonts w:eastAsiaTheme="minorHAnsi"/>
          <w:strike/>
          <w:color w:val="000000" w:themeColor="text1"/>
          <w:szCs w:val="22"/>
          <w:u w:color="000000" w:themeColor="text1"/>
        </w:rPr>
        <w:t>both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insurance premium taxes imposed by Chapter 7, Title 38, or any of them</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If the taxpayer elects to receive the credit pursuant to subsection (A)(1), the following provisions apply: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taxpayer shall file a Notice of Intent to Rehabilitate with the municipality, or the county if the textile mill site is located in an unincorporated area, in which the textile mill site is located before incurring its first rehabilitation expenses at the textile mill site.  Failure to provide the Notice of Intent to Rehabilitate results in qualification of only those rehabilitation expenses incurred after notice is provided.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Once the Notice of Intent to Rehabilitate has been provided to the county or municipality, the municipality or the county shall first by resolution determine the eligibility of the textile mill site and the proposed rehabilitation expenses for the credit.  A proposed rehabilitation of a textile mill site must be approved by a positive majority vote of the local governing body.  For purposes of this subsection, </w:t>
      </w:r>
      <w:r w:rsidR="00981414">
        <w:rPr>
          <w:rFonts w:eastAsiaTheme="minorHAnsi"/>
          <w:color w:val="000000" w:themeColor="text1"/>
          <w:szCs w:val="22"/>
          <w:u w:color="000000" w:themeColor="text1"/>
        </w:rPr>
        <w:t>‘</w:t>
      </w:r>
      <w:r>
        <w:rPr>
          <w:rFonts w:eastAsiaTheme="minorHAnsi"/>
          <w:color w:val="000000" w:themeColor="text1"/>
          <w:szCs w:val="22"/>
          <w:u w:color="000000" w:themeColor="text1"/>
        </w:rPr>
        <w:t>positive majority vote</w:t>
      </w:r>
      <w:r w:rsidR="00F55069">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is as defined in Section 6</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300(5).  If the county or municipality determines that the textile mill site and the proposed rehabilitation expenses are eligible for the credit, there must be a public hearing and the municipality or county shall approve the textile mill site for the credit by ordinance.  Before approving a textile mill site for the credit, the municipality or county shall make a finding that the credit does not violate a covenant, representation, or warranty in any of its tax increment financing transactions or an outstanding general obligation bond issued by the county or municipality.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(3)(a)</w:t>
      </w:r>
      <w:r>
        <w:rPr>
          <w:rFonts w:eastAsiaTheme="minorHAnsi"/>
          <w:color w:val="000000" w:themeColor="text1"/>
          <w:szCs w:val="22"/>
          <w:u w:color="000000" w:themeColor="text1"/>
        </w:rPr>
        <w:tab/>
        <w:t>The amount of the credit is equal to twenty</w:t>
      </w:r>
      <w:r>
        <w:rPr>
          <w:rFonts w:eastAsiaTheme="minorHAnsi"/>
          <w:color w:val="000000" w:themeColor="text1"/>
          <w:szCs w:val="22"/>
          <w:u w:color="000000" w:themeColor="text1"/>
        </w:rPr>
        <w:noBreakHyphen/>
        <w:t>five percent of the actual rehabilitation expenses made at the textile mill site times the local taxing entity ratio of each local taxing entity that has consented to the credit pursuant to item (4), if the actual rehabilitation expenses incurred in rehabilitating the textile mill site are between eighty percent and one hundred twenty</w:t>
      </w:r>
      <w:r>
        <w:rPr>
          <w:rFonts w:eastAsiaTheme="minorHAnsi"/>
          <w:color w:val="000000" w:themeColor="text1"/>
          <w:szCs w:val="22"/>
          <w:u w:color="000000" w:themeColor="text1"/>
        </w:rPr>
        <w:noBreakHyphen/>
        <w:t>five percent of the estimated rehabilitation expenses set forth in the Notice of Intent to Rehabilitate.  If the actual rehabilitation expenses exceed one hundred twenty</w:t>
      </w:r>
      <w:r>
        <w:rPr>
          <w:rFonts w:eastAsiaTheme="minorHAnsi"/>
          <w:color w:val="000000" w:themeColor="text1"/>
          <w:szCs w:val="22"/>
          <w:u w:color="000000" w:themeColor="text1"/>
        </w:rPr>
        <w:noBreakHyphen/>
        <w:t>five percent of the estimated expenses set forth in the Notice of Intent to Rehabilitate, the taxpayer qualifies for the credit based on one hundred twenty</w:t>
      </w:r>
      <w:r>
        <w:rPr>
          <w:rFonts w:eastAsiaTheme="minorHAnsi"/>
          <w:color w:val="000000" w:themeColor="text1"/>
          <w:szCs w:val="22"/>
          <w:u w:color="000000" w:themeColor="text1"/>
        </w:rPr>
        <w:noBreakHyphen/>
        <w:t xml:space="preserve">five percent of the estimated expenses as opposed to the actual expenses it incurred in rehabilitating the textile mill site.  If the actual rehabilitation expenses are below eighty percent of the </w:t>
      </w:r>
      <w:r>
        <w:rPr>
          <w:rFonts w:eastAsiaTheme="minorHAnsi"/>
          <w:color w:val="000000" w:themeColor="text1"/>
          <w:szCs w:val="22"/>
          <w:u w:color="000000" w:themeColor="text1"/>
        </w:rPr>
        <w:lastRenderedPageBreak/>
        <w:t>estimated rehabilitation expenses, the credit is not allowed.  The ordinance must provide for the credit to be taken as a credit against up to seventy</w:t>
      </w:r>
      <w:r>
        <w:rPr>
          <w:rFonts w:eastAsiaTheme="minorHAnsi"/>
          <w:color w:val="000000" w:themeColor="text1"/>
          <w:szCs w:val="22"/>
          <w:u w:color="000000" w:themeColor="text1"/>
        </w:rPr>
        <w:noBreakHyphen/>
        <w:t xml:space="preserve">five percent of the real property taxes due on the textile mill site each year for up to eight years.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local taxing entity ratio is set as of the time the Notice of Intent to Rehabilitate is filed and remains set for the entire period that the credit may be claimed by the taxpayer.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Not fewer than forty</w:t>
      </w:r>
      <w:r>
        <w:rPr>
          <w:rFonts w:eastAsiaTheme="minorHAnsi"/>
          <w:color w:val="000000" w:themeColor="text1"/>
          <w:szCs w:val="22"/>
          <w:u w:color="000000" w:themeColor="text1"/>
        </w:rPr>
        <w:noBreakHyphen/>
        <w:t xml:space="preserve">five days before holding the public hearing required by subsection (B)(2), the governing body of the municipality or county shall give notice to all affected local taxing entities in which the textile mill site is located of its intention to grant a credit against real property taxes for the textile mill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The credit against real property taxes for each applicable phase or portion of the textile mill site may be claimed beginning for the property tax year in which the applicable phase or portion of the textile mill site is first placed in service.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If the taxpayer </w:t>
      </w:r>
      <w:r>
        <w:rPr>
          <w:rFonts w:eastAsiaTheme="minorHAnsi"/>
          <w:strike/>
          <w:color w:val="000000" w:themeColor="text1"/>
          <w:szCs w:val="22"/>
          <w:u w:color="000000" w:themeColor="text1"/>
        </w:rPr>
        <w:t>has acquired the textile mill site after December 31, 2007, and</w:t>
      </w:r>
      <w:r>
        <w:rPr>
          <w:rFonts w:eastAsiaTheme="minorHAnsi"/>
          <w:color w:val="000000" w:themeColor="text1"/>
          <w:szCs w:val="22"/>
          <w:u w:color="000000" w:themeColor="text1"/>
        </w:rPr>
        <w:t xml:space="preserve"> elects to receive the credit pursuant to subsection (A)(2), the following provisions apply: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taxpayer shall file with the department a notice of Intent to Rehabilitate before incurring its first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amount of the credit is equal to twenty</w:t>
      </w:r>
      <w:r>
        <w:rPr>
          <w:rFonts w:eastAsiaTheme="minorHAnsi"/>
          <w:color w:val="000000" w:themeColor="text1"/>
          <w:szCs w:val="22"/>
          <w:u w:val="single" w:color="000000" w:themeColor="text1"/>
        </w:rPr>
        <w:noBreakHyphen/>
        <w:t>five percent of the actual</w:t>
      </w:r>
      <w:r>
        <w:rPr>
          <w:rFonts w:eastAsiaTheme="minorHAnsi"/>
          <w:color w:val="000000" w:themeColor="text1"/>
          <w:szCs w:val="22"/>
          <w:u w:color="000000" w:themeColor="text1"/>
        </w:rPr>
        <w:t xml:space="preserve"> rehabilitation expenses </w:t>
      </w:r>
      <w:r>
        <w:rPr>
          <w:rFonts w:eastAsiaTheme="minorHAnsi"/>
          <w:color w:val="000000" w:themeColor="text1"/>
          <w:szCs w:val="22"/>
          <w:u w:val="single" w:color="000000" w:themeColor="text1"/>
        </w:rPr>
        <w:t>made</w:t>
      </w:r>
      <w:r>
        <w:rPr>
          <w:rFonts w:eastAsiaTheme="minorHAnsi"/>
          <w:color w:val="000000" w:themeColor="text1"/>
          <w:szCs w:val="22"/>
          <w:u w:color="000000" w:themeColor="text1"/>
        </w:rPr>
        <w:t xml:space="preserve"> at the textile mill site.  </w:t>
      </w:r>
      <w:r>
        <w:rPr>
          <w:rFonts w:eastAsiaTheme="minorHAnsi"/>
          <w:strike/>
          <w:color w:val="000000" w:themeColor="text1"/>
          <w:szCs w:val="22"/>
          <w:u w:color="000000" w:themeColor="text1"/>
        </w:rPr>
        <w:t>Failure to provide the Notice of Intent to Rehabilitate results in qualification of only those rehabilitation expenses incurred after the notice is provided.</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amount of the credit is equal to twenty</w:t>
      </w:r>
      <w:r>
        <w:rPr>
          <w:rFonts w:eastAsiaTheme="minorHAnsi"/>
          <w:strike/>
          <w:color w:val="000000" w:themeColor="text1"/>
          <w:szCs w:val="22"/>
          <w:u w:color="000000" w:themeColor="text1"/>
        </w:rPr>
        <w:noBreakHyphen/>
        <w:t>five percent of the actual rehabilitation expenses made at the textile mill site if the actual rehabilitation expenses incurred in rehabilitating the textile mill site are between eighty percent and one hundred twenty</w:t>
      </w:r>
      <w:r>
        <w:rPr>
          <w:rFonts w:eastAsiaTheme="minorHAnsi"/>
          <w:strike/>
          <w:color w:val="000000" w:themeColor="text1"/>
          <w:szCs w:val="22"/>
          <w:u w:color="000000" w:themeColor="text1"/>
        </w:rPr>
        <w:noBreakHyphen/>
        <w:t>five percent of the estimated rehabilitation expenses set forth in the Notice of Intent to Rehabilitate.  If the actual rehabilitation expenses exceed one hundred twenty</w:t>
      </w:r>
      <w:r>
        <w:rPr>
          <w:rFonts w:eastAsiaTheme="minorHAnsi"/>
          <w:strike/>
          <w:color w:val="000000" w:themeColor="text1"/>
          <w:szCs w:val="22"/>
          <w:u w:color="000000" w:themeColor="text1"/>
        </w:rPr>
        <w:noBreakHyphen/>
        <w:t>five percent of the estimated expenses set forth in the Notice of Intent to Rehabilitate, the taxpayer qualifies for the credit based on one hundred twenty</w:t>
      </w:r>
      <w:r>
        <w:rPr>
          <w:rFonts w:eastAsiaTheme="minorHAnsi"/>
          <w:strike/>
          <w:color w:val="000000" w:themeColor="text1"/>
          <w:szCs w:val="22"/>
          <w:u w:color="000000" w:themeColor="text1"/>
        </w:rPr>
        <w:noBreakHyphen/>
        <w:t>five percent of the estimated expenses as opposed to the actual expenses it incurred in rehabilitating the textile mill site.  If the actual rehabilitation expenses are below eighty percent of the estimated rehabilitation expenses, the credit is not allowed.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lastRenderedPageBreak/>
        <w:t>If the taxpayer has acquired the textile mill site after December 31, 2007, the provisions of this item (2) apply to the textile mill site; provided, however, that transfers between affiliated taxpayers of phases of any textile mill site may not be deemed an acquisition for this purpose.  The taxpayer shall file with the department a Notice of Intent to Rehabilitate prior to receiving the building permits for the applicable rehabilitation at the textile mill site or phase thereof.  Failure to provide the Notice of Intent to Rehabilitate prior to receiving the building permits for the applicable rehabilitation at the textile mill site or phase thereof results in qualification of only those rehabilitation expenses incurred after the notice is provided.  If the actual rehabilitation expenses exceed one hundred twenty</w:t>
      </w:r>
      <w:r>
        <w:rPr>
          <w:rFonts w:eastAsiaTheme="minorHAnsi"/>
          <w:color w:val="000000" w:themeColor="text1"/>
          <w:szCs w:val="22"/>
          <w:u w:val="single" w:color="000000" w:themeColor="text1"/>
        </w:rPr>
        <w:noBreakHyphen/>
        <w:t>five percent of the estimated expenses set forth in the Notice of Intent to Rehabilitate, the taxpayer qualifies for the credit based on one hundred twenty</w:t>
      </w:r>
      <w:r>
        <w:rPr>
          <w:rFonts w:eastAsiaTheme="minorHAnsi"/>
          <w:color w:val="000000" w:themeColor="text1"/>
          <w:szCs w:val="22"/>
          <w:u w:val="single" w:color="000000" w:themeColor="text1"/>
        </w:rPr>
        <w:noBreakHyphen/>
        <w:t xml:space="preserve">five percent of the estimated expenses as opposed to the actual expenses incurred in rehabilitating the textile mill site.  </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entire credit is earned in the taxable year in which the applicable phase or portion of the textile mill site is placed in service but must be taken in equal installments over a five</w:t>
      </w:r>
      <w:r>
        <w:rPr>
          <w:rFonts w:eastAsiaTheme="minorHAnsi"/>
          <w:color w:val="000000" w:themeColor="text1"/>
          <w:szCs w:val="22"/>
          <w:u w:color="000000" w:themeColor="text1"/>
        </w:rPr>
        <w:noBreakHyphen/>
        <w:t xml:space="preserve">year period beginning with the tax year in which the applicable phase or portion of the textile mill site is placed in service.  Unused credit may be carried forward for the succeeding five years.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If the taxpayer qualifies for both the credit allowed by this subsection and the credit allowed pursuant to Section 12</w:t>
      </w:r>
      <w:r>
        <w:rPr>
          <w:rFonts w:eastAsiaTheme="minorHAnsi"/>
          <w:color w:val="000000" w:themeColor="text1"/>
          <w:szCs w:val="22"/>
          <w:u w:color="000000" w:themeColor="text1"/>
        </w:rPr>
        <w:noBreakHyphen/>
        <w:t>6</w:t>
      </w:r>
      <w:r>
        <w:rPr>
          <w:rFonts w:eastAsiaTheme="minorHAnsi"/>
          <w:color w:val="000000" w:themeColor="text1"/>
          <w:szCs w:val="22"/>
          <w:u w:color="000000" w:themeColor="text1"/>
        </w:rPr>
        <w:noBreakHyphen/>
        <w:t xml:space="preserve">3535, the taxpayer may claim both credits.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The credit allowed by this subsection is limited in use to fifty percent of </w:t>
      </w:r>
      <w:r>
        <w:rPr>
          <w:rFonts w:eastAsiaTheme="minorHAnsi"/>
          <w:strike/>
          <w:color w:val="000000" w:themeColor="text1"/>
          <w:szCs w:val="22"/>
          <w:u w:color="000000" w:themeColor="text1"/>
        </w:rPr>
        <w:t>either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each of the following</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taxpayer’s income tax liability for the taxable year if taxpayer claims the credit allowed by this section as a credit against income tax imposed pursuant to Chapter 6 or Chapter 11 of this title;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taxpayer’s corporate license fees for the taxable year if the taxpayer claims the credit allowed by this section as a credit against license fees imposed pursuant to Chapter 20</w:t>
      </w:r>
      <w:r>
        <w:rPr>
          <w:rFonts w:eastAsiaTheme="minorHAnsi"/>
          <w:color w:val="000000" w:themeColor="text1"/>
          <w:szCs w:val="22"/>
          <w:u w:val="single" w:color="000000" w:themeColor="text1"/>
        </w:rPr>
        <w:t>; or</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taxpayer’s insurance premium taxes imposed by Chapter 7, Title 38</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(6)(a)</w:t>
      </w:r>
      <w:r>
        <w:rPr>
          <w:rFonts w:eastAsiaTheme="minorHAnsi"/>
          <w:color w:val="000000" w:themeColor="text1"/>
          <w:szCs w:val="22"/>
          <w:u w:color="000000" w:themeColor="text1"/>
        </w:rPr>
        <w:tab/>
        <w:t xml:space="preserve">If the taxpayer leases the textile mill site, or part of the textile mill site, the taxpayer may transfer any applicable remaining credit associated with the rehabilitation expenses incurred with respect to that part of the site to the lessee of the site.  The provisions of item </w:t>
      </w:r>
      <w:r>
        <w:rPr>
          <w:rFonts w:eastAsiaTheme="minorHAnsi"/>
          <w:strike/>
          <w:color w:val="000000" w:themeColor="text1"/>
          <w:szCs w:val="22"/>
          <w:u w:color="000000" w:themeColor="text1"/>
        </w:rPr>
        <w:t>(5)</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 xml:space="preserve"> of this subsection apply to a lessee that is an entity taxed as a partnership.  If a taxpayer sells the </w:t>
      </w:r>
      <w:r>
        <w:rPr>
          <w:rFonts w:eastAsiaTheme="minorHAnsi"/>
          <w:color w:val="000000" w:themeColor="text1"/>
          <w:szCs w:val="22"/>
          <w:u w:color="000000" w:themeColor="text1"/>
        </w:rPr>
        <w:lastRenderedPageBreak/>
        <w:t xml:space="preserve">textile mill site, or any phase or portion of the textile mill site, the taxpayer may transfer all, or part of the remaining credit, associated with the rehabilitation expenses incurred with respect to that phase or portion of the site to the purchaser of the applicable portion of the textile mill site.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To the extent that the taxpayer transfers the credit, the taxpayer must notify the department of the transfer in the manner the department prescribes.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 xml:space="preserve">To the extent that the taxpayer is a partnership or a limited liability company taxed as a partnership, the credit may be passed through to the partners or members and may be allocated </w:t>
      </w:r>
      <w:r>
        <w:rPr>
          <w:rFonts w:eastAsiaTheme="minorHAnsi"/>
          <w:color w:val="000000" w:themeColor="text1"/>
          <w:szCs w:val="22"/>
          <w:u w:val="single" w:color="000000" w:themeColor="text1"/>
        </w:rPr>
        <w:t>by the taxpayer</w:t>
      </w:r>
      <w:r>
        <w:rPr>
          <w:rFonts w:eastAsiaTheme="minorHAnsi"/>
          <w:color w:val="000000" w:themeColor="text1"/>
          <w:szCs w:val="22"/>
          <w:u w:color="000000" w:themeColor="text1"/>
        </w:rPr>
        <w:t xml:space="preserve"> among any of its partners or members </w:t>
      </w:r>
      <w:r>
        <w:rPr>
          <w:rFonts w:eastAsiaTheme="minorHAnsi"/>
          <w:color w:val="000000" w:themeColor="text1"/>
          <w:szCs w:val="22"/>
          <w:u w:val="single" w:color="000000" w:themeColor="text1"/>
        </w:rPr>
        <w:t>on an annual basis</w:t>
      </w:r>
      <w:r>
        <w:rPr>
          <w:rFonts w:eastAsiaTheme="minorHAnsi"/>
          <w:color w:val="000000" w:themeColor="text1"/>
          <w:szCs w:val="22"/>
          <w:u w:color="000000" w:themeColor="text1"/>
        </w:rPr>
        <w:t xml:space="preserve"> including, without limitation, an allocation of the entire credit to </w:t>
      </w:r>
      <w:r>
        <w:rPr>
          <w:rFonts w:eastAsiaTheme="minorHAnsi"/>
          <w:strike/>
          <w:color w:val="000000" w:themeColor="text1"/>
          <w:szCs w:val="22"/>
          <w:u w:color="000000" w:themeColor="text1"/>
        </w:rPr>
        <w:t>one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any</w:t>
      </w:r>
      <w:r>
        <w:rPr>
          <w:rFonts w:eastAsiaTheme="minorHAnsi"/>
          <w:color w:val="000000" w:themeColor="text1"/>
          <w:szCs w:val="22"/>
          <w:u w:color="000000" w:themeColor="text1"/>
        </w:rPr>
        <w:t xml:space="preserve"> partner or member </w:t>
      </w:r>
      <w:r>
        <w:rPr>
          <w:rFonts w:eastAsiaTheme="minorHAnsi"/>
          <w:color w:val="000000" w:themeColor="text1"/>
          <w:szCs w:val="22"/>
          <w:u w:val="single" w:color="000000" w:themeColor="text1"/>
        </w:rPr>
        <w:t>who was a member or partner at any time during the year in which the credit is allocated</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454F1C" w:rsidRPr="00355E15">
        <w:t>(D)</w:t>
      </w:r>
      <w:r w:rsidR="00454F1C" w:rsidRPr="00355E15">
        <w:tab/>
      </w:r>
      <w:r w:rsidR="00454F1C" w:rsidRPr="00355E15">
        <w:rPr>
          <w:u w:color="000000" w:themeColor="text1"/>
        </w:rPr>
        <w:t xml:space="preserve">A taxpayer is not eligible for the credit if </w:t>
      </w:r>
      <w:r w:rsidR="00454F1C" w:rsidRPr="00355E15">
        <w:rPr>
          <w:u w:val="single" w:color="000000" w:themeColor="text1"/>
        </w:rPr>
        <w:t>the facility has previously received textile mill credits, or if</w:t>
      </w:r>
      <w:r w:rsidR="00454F1C" w:rsidRPr="00355E15">
        <w:rPr>
          <w:u w:color="000000" w:themeColor="text1"/>
        </w:rPr>
        <w:t xml:space="preserve"> the taxpayer owned the otherwise eligible textile mill site when the site was operational and immediately prior to its abandonment.</w:t>
      </w:r>
      <w:r>
        <w:rPr>
          <w:rFonts w:eastAsiaTheme="minorHAnsi"/>
          <w:color w:val="000000" w:themeColor="text1"/>
          <w:szCs w:val="22"/>
          <w:u w:color="000000" w:themeColor="text1"/>
        </w:rPr>
        <w:t>”</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128DD" w:rsidRDefault="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 </w:t>
      </w:r>
      <w:r w:rsidR="00B130CE">
        <w:rPr>
          <w:rFonts w:eastAsiaTheme="minorHAnsi"/>
          <w:color w:val="000000" w:themeColor="text1"/>
          <w:szCs w:val="22"/>
          <w:u w:color="000000" w:themeColor="text1"/>
        </w:rPr>
        <w:t>Chapter 65, Title 12 of the 1976 Code is amended by adding:</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Entire textile mill sites placed in service on or before December 31, 2007, must be governed by the former provisions of Chapter 32, Title 6, in effect as of December 31, 2007.</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provisions of this chapter shall apply to all textile mill sites or portions thereof placed in service on or after January 1, 2008.</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For any textile mill sites in which a portion but not all of the textile mill site was placed in service on or before December 31, 2007, the taxpayer may elect to either:</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have the portion of the textile mill site that was placed in service on or before December 31, 2007, governed by the former provisions of Chapter 32, Title 6, in effect as of December 31, 2007, as if the portion were an entire textile mill site; or</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have the portion be governed by this chapter such that the portion must be deemed to be a phase of the textile mill site placed in service on a date subsequent to December 31, 2007, identified by the taxpayer.”</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Chapter 65, Title 12 of the 1976 Code is amended by adding:</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60.</w:t>
      </w:r>
      <w:r>
        <w:rPr>
          <w:rFonts w:eastAsiaTheme="minorHAnsi"/>
          <w:color w:val="000000" w:themeColor="text1"/>
          <w:szCs w:val="22"/>
          <w:u w:color="000000" w:themeColor="text1"/>
        </w:rPr>
        <w:tab/>
        <w:t>The taxpayer may apply to the municipality or county in which the textile mill site is located for a certification of the textile mill site made by ordinance or binding resolution of the governing body of the municipality or county.  The certification shall include findings that the:</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textile mill site was a textile mill as defined in 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20(3);</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textile mill site has been abandoned as defined in 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20(1); and</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geographic area of the textile mill site consistent with 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20(4).</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The taxpayer may conclusively rely upon the certification in determining the credit allowed; provided, however, that if the taxpayer is relying upon the certification, the taxpayer shall include a copy of the certification on the first return for which the credit is claimed.” </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F1C" w:rsidRPr="00355E15" w:rsidRDefault="00454F1C" w:rsidP="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E15">
        <w:t>SECTION</w:t>
      </w:r>
      <w:r w:rsidRPr="00355E15">
        <w:tab/>
      </w:r>
      <w:r>
        <w:t>4</w:t>
      </w:r>
      <w:r w:rsidRPr="00355E15">
        <w:t>.</w:t>
      </w:r>
      <w:r>
        <w:tab/>
        <w:t xml:space="preserve"> </w:t>
      </w:r>
      <w:r w:rsidRPr="00355E15">
        <w:t>Section 12</w:t>
      </w:r>
      <w:r w:rsidRPr="00355E15">
        <w:noBreakHyphen/>
        <w:t>65</w:t>
      </w:r>
      <w:r w:rsidRPr="00355E15">
        <w:noBreakHyphen/>
        <w:t>20(3) of the 1976 Code is amended to read:</w:t>
      </w:r>
    </w:p>
    <w:p w:rsidR="00454F1C" w:rsidRDefault="00454F1C" w:rsidP="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F1C" w:rsidRDefault="00454F1C" w:rsidP="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5E15">
        <w:tab/>
        <w:t>“(3)</w:t>
      </w:r>
      <w:r w:rsidRPr="00355E15">
        <w:tab/>
        <w:t xml:space="preserve">‘Textile mill’ means a facility or facilities that were </w:t>
      </w:r>
      <w:r w:rsidRPr="00355E15">
        <w:rPr>
          <w:strike/>
        </w:rPr>
        <w:t>last</w:t>
      </w:r>
      <w:r w:rsidRPr="00355E15">
        <w:t xml:space="preserve"> </w:t>
      </w:r>
      <w:r w:rsidRPr="00355E15">
        <w:rPr>
          <w:u w:val="single"/>
        </w:rPr>
        <w:t>initially</w:t>
      </w:r>
      <w:r w:rsidRPr="00355E15">
        <w:t xml:space="preserve"> used for textile manufacturing, dying, or finishing operations and for ancillary uses to those operations.”</w:t>
      </w:r>
    </w:p>
    <w:p w:rsidR="00454F1C" w:rsidRDefault="00454F1C" w:rsidP="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F1C" w:rsidRPr="00400792" w:rsidRDefault="00454F1C" w:rsidP="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792">
        <w:t>SECTION</w:t>
      </w:r>
      <w:r w:rsidRPr="00400792">
        <w:tab/>
      </w:r>
      <w:r>
        <w:t>5</w:t>
      </w:r>
      <w:r w:rsidRPr="00400792">
        <w:t>.</w:t>
      </w:r>
      <w:r w:rsidRPr="00400792">
        <w:tab/>
      </w:r>
      <w:r>
        <w:t xml:space="preserve"> </w:t>
      </w:r>
      <w:r w:rsidRPr="00400792">
        <w:t>Section 4-9-195(E) of the 1976 Code, as amended by Act 292 of 2004, is further amended to read:</w:t>
      </w:r>
    </w:p>
    <w:p w:rsidR="00454F1C" w:rsidRDefault="00454F1C" w:rsidP="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4F1C" w:rsidRPr="00400792" w:rsidRDefault="00454F1C" w:rsidP="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792">
        <w:tab/>
        <w:t>“(E)</w:t>
      </w:r>
      <w:r w:rsidRPr="00400792">
        <w:tab/>
        <w:t xml:space="preserve">When property has received final certification and </w:t>
      </w:r>
      <w:r w:rsidRPr="00400792">
        <w:rPr>
          <w:u w:val="single"/>
        </w:rPr>
        <w:t>is</w:t>
      </w:r>
      <w:r w:rsidRPr="00400792">
        <w:t xml:space="preserve"> assessed as rehabilitated historic property, or low or moderate income rental property, it remains so certified and must be granted the special assessment until the property becomes disqualified by any one of the following: </w:t>
      </w:r>
    </w:p>
    <w:p w:rsidR="00454F1C" w:rsidRPr="00400792" w:rsidRDefault="00454F1C" w:rsidP="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792">
        <w:tab/>
      </w:r>
      <w:r w:rsidRPr="00400792">
        <w:tab/>
        <w:t>(1)</w:t>
      </w:r>
      <w:r w:rsidRPr="00400792">
        <w:tab/>
        <w:t xml:space="preserve">written notice by the owner to the county to remove the preferential assessment; </w:t>
      </w:r>
    </w:p>
    <w:p w:rsidR="00454F1C" w:rsidRPr="00400792" w:rsidRDefault="00454F1C" w:rsidP="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00792">
        <w:tab/>
      </w:r>
      <w:r w:rsidRPr="00400792">
        <w:tab/>
        <w:t>(2)</w:t>
      </w:r>
      <w:r w:rsidRPr="00400792">
        <w:tab/>
      </w:r>
      <w:r w:rsidRPr="00400792">
        <w:rPr>
          <w:strike/>
        </w:rPr>
        <w:t xml:space="preserve">sale or transfer of ownership during the special assessment period, other than in ordinary course within probate proceedings; </w:t>
      </w:r>
    </w:p>
    <w:p w:rsidR="00454F1C" w:rsidRPr="00400792" w:rsidRDefault="00454F1C" w:rsidP="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792">
        <w:tab/>
      </w:r>
      <w:r w:rsidRPr="00400792">
        <w:tab/>
      </w:r>
      <w:r w:rsidRPr="00400792">
        <w:rPr>
          <w:strike/>
        </w:rPr>
        <w:t>(3)</w:t>
      </w:r>
      <w:r w:rsidRPr="00400792">
        <w:tab/>
        <w:t xml:space="preserve">removal of the historic designation by the county governing body; </w:t>
      </w:r>
    </w:p>
    <w:p w:rsidR="00454F1C" w:rsidRPr="00400792" w:rsidRDefault="00454F1C" w:rsidP="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792">
        <w:lastRenderedPageBreak/>
        <w:tab/>
      </w:r>
      <w:r w:rsidRPr="00400792">
        <w:tab/>
      </w:r>
      <w:r w:rsidRPr="00400792">
        <w:rPr>
          <w:strike/>
        </w:rPr>
        <w:t>(4)</w:t>
      </w:r>
      <w:r w:rsidRPr="00400792">
        <w:rPr>
          <w:u w:val="single"/>
        </w:rPr>
        <w:t>(3)</w:t>
      </w:r>
      <w:r w:rsidRPr="00400792">
        <w:tab/>
        <w:t>decertification of the property by the local governing body as low or moderate income rental property for persons and families of moderate to low income as defined by Section 31</w:t>
      </w:r>
      <w:r w:rsidRPr="00400792">
        <w:noBreakHyphen/>
        <w:t>13</w:t>
      </w:r>
      <w:r w:rsidRPr="00400792">
        <w:noBreakHyphen/>
        <w:t xml:space="preserve">170(p); </w:t>
      </w:r>
    </w:p>
    <w:p w:rsidR="00454F1C" w:rsidRPr="00400792" w:rsidRDefault="00454F1C" w:rsidP="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792">
        <w:tab/>
      </w:r>
      <w:r w:rsidRPr="00400792">
        <w:tab/>
      </w:r>
      <w:r w:rsidRPr="00400792">
        <w:rPr>
          <w:strike/>
        </w:rPr>
        <w:t>(5)</w:t>
      </w:r>
      <w:r w:rsidRPr="00400792">
        <w:rPr>
          <w:u w:val="single"/>
        </w:rPr>
        <w:t>(4)</w:t>
      </w:r>
      <w:r w:rsidRPr="00400792">
        <w:tab/>
        <w:t xml:space="preserve">rescission of the approval of rehabilitation work by the reviewing authority because of alterations or renovations by the owner or his estate which cause the property to no longer possess the qualities and features which made it eligible for final certification. </w:t>
      </w:r>
    </w:p>
    <w:p w:rsidR="00454F1C" w:rsidRPr="00400792" w:rsidRDefault="00454F1C" w:rsidP="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00792">
        <w:tab/>
      </w:r>
      <w:r w:rsidRPr="00400792">
        <w:rPr>
          <w:u w:val="single"/>
        </w:rPr>
        <w:t>Under no circumstances shall the sale or transfer of ownership of real property certified and assessed in accordance with this section and any ordinance in effect at the time disqualify the property from receiving the special property tax assessment under this section.  This provision shall be applicable and given full force and effect to any special property tax assessment granted prior to the effective date of this paragraph notwithstanding any ordinance in effect from time to time to the contrary.</w:t>
      </w:r>
    </w:p>
    <w:p w:rsidR="00454F1C" w:rsidRDefault="00454F1C" w:rsidP="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0792">
        <w:tab/>
        <w:t>Notification of any change affecting eligibility must be given immediately to the appropriate county taxing and assessing authorities.”</w:t>
      </w:r>
    </w:p>
    <w:p w:rsidR="00454F1C" w:rsidRDefault="00454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4F1C">
        <w:t>6</w:t>
      </w:r>
      <w:r>
        <w:t>.</w:t>
      </w:r>
      <w:r>
        <w:tab/>
        <w:t>This act takes effect upon approval by the Governor.</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28DD" w:rsidRDefault="005128DD" w:rsidP="00D91DDF">
      <w:pPr>
        <w:suppressAutoHyphens/>
      </w:pPr>
    </w:p>
    <w:sectPr w:rsidR="005128DD" w:rsidSect="00B130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28DD" w:rsidRDefault="00B130CE">
      <w:r>
        <w:separator/>
      </w:r>
    </w:p>
  </w:endnote>
  <w:endnote w:type="continuationSeparator" w:id="0">
    <w:p w:rsidR="005128DD" w:rsidRDefault="00B130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19E519-BD4E-4CDC-8B9A-EDA10DF999B7}"/>
    <w:embedBold r:id="rId2" w:fontKey="{FB7E16A5-B152-42CB-954C-1232C151C412}"/>
  </w:font>
  <w:font w:name="Calibri">
    <w:panose1 w:val="020F0502020204030204"/>
    <w:charset w:val="00"/>
    <w:family w:val="swiss"/>
    <w:pitch w:val="variable"/>
    <w:sig w:usb0="A00002EF" w:usb1="4000207B" w:usb2="00000000" w:usb3="00000000" w:csb0="0000009F" w:csb1="00000000"/>
    <w:embedRegular r:id="rId3" w:fontKey="{41867330-AB2F-4E02-8445-B805A3A7FBE0}"/>
  </w:font>
  <w:font w:name="Arial">
    <w:panose1 w:val="020B0604020202020204"/>
    <w:charset w:val="00"/>
    <w:family w:val="swiss"/>
    <w:pitch w:val="variable"/>
    <w:sig w:usb0="20002A87" w:usb1="80000000" w:usb2="00000008" w:usb3="00000000" w:csb0="000001FF" w:csb1="00000000"/>
    <w:embedBold r:id="rId4" w:fontKey="{AB1DA2B1-7298-4807-890E-BB8E8813EF26}"/>
  </w:font>
  <w:font w:name="Cambria">
    <w:panose1 w:val="02040503050406030204"/>
    <w:charset w:val="00"/>
    <w:family w:val="roman"/>
    <w:pitch w:val="variable"/>
    <w:sig w:usb0="A00002EF" w:usb1="4000004B" w:usb2="00000000" w:usb3="00000000" w:csb0="0000009F" w:csb1="00000000"/>
    <w:embedRegular r:id="rId5" w:fontKey="{508AF852-D86B-4CDA-8694-41A512E890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8DD" w:rsidRDefault="00B130CE">
    <w:pPr>
      <w:pStyle w:val="Footer"/>
      <w:tabs>
        <w:tab w:val="clear" w:pos="4680"/>
        <w:tab w:val="clear" w:pos="9360"/>
        <w:tab w:val="center" w:pos="2995"/>
      </w:tabs>
      <w:spacing w:before="120"/>
    </w:pPr>
    <w:r>
      <w:t>[728-</w:t>
    </w:r>
    <w:fldSimple w:instr=" PAGE  \* MERGEFORMAT ">
      <w:r w:rsidR="00D91DD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0CE" w:rsidRDefault="00B130CE">
    <w:pPr>
      <w:pStyle w:val="Footer"/>
      <w:tabs>
        <w:tab w:val="clear" w:pos="4680"/>
        <w:tab w:val="clear" w:pos="9360"/>
        <w:tab w:val="center" w:pos="2995"/>
      </w:tabs>
      <w:spacing w:before="120"/>
    </w:pPr>
    <w:r>
      <w:t>[728]</w:t>
    </w:r>
    <w:r>
      <w:tab/>
    </w:r>
    <w:fldSimple w:instr=" PAGE  \* MERGEFORMAT ">
      <w:r w:rsidR="00D91DD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28DD" w:rsidRDefault="00B130CE">
      <w:r>
        <w:separator/>
      </w:r>
    </w:p>
  </w:footnote>
  <w:footnote w:type="continuationSeparator" w:id="0">
    <w:p w:rsidR="005128DD" w:rsidRDefault="00B130C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0291SD09"/>
    <w:docVar w:name="CoverBillType" w:val="b"/>
    <w:docVar w:name="docpath" w:val="L:\Council\bills\GJK\20291SD09.DOCX"/>
    <w:docVar w:name="dvBillNumber" w:val="728"/>
    <w:docVar w:name="dvBillNumberPrefix" w:val="S. "/>
    <w:docVar w:name="dvOriginalBody" w:val="Senate"/>
    <w:docVar w:name="dvSteno" w:val="GJK"/>
    <w:docVar w:name="NameofBody" w:val="s"/>
    <w:docVar w:name="vgroup2" w:val="Council"/>
  </w:docVars>
  <w:rsids>
    <w:rsidRoot w:val="005128DD"/>
    <w:rsid w:val="001F1212"/>
    <w:rsid w:val="002C5641"/>
    <w:rsid w:val="00434365"/>
    <w:rsid w:val="00454F1C"/>
    <w:rsid w:val="005128DD"/>
    <w:rsid w:val="005B6943"/>
    <w:rsid w:val="006E5769"/>
    <w:rsid w:val="006F0454"/>
    <w:rsid w:val="007E133B"/>
    <w:rsid w:val="00981414"/>
    <w:rsid w:val="00B130CE"/>
    <w:rsid w:val="00D91DDF"/>
    <w:rsid w:val="00F550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8D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128DD"/>
    <w:pPr>
      <w:keepNext/>
      <w:suppressAutoHyphens/>
      <w:jc w:val="center"/>
      <w:outlineLvl w:val="0"/>
    </w:pPr>
    <w:rPr>
      <w:b/>
      <w:sz w:val="30"/>
    </w:rPr>
  </w:style>
  <w:style w:type="paragraph" w:styleId="Heading2">
    <w:name w:val="heading 2"/>
    <w:basedOn w:val="Normal"/>
    <w:next w:val="Normal"/>
    <w:link w:val="Heading2Char"/>
    <w:qFormat/>
    <w:rsid w:val="00B130CE"/>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28DD"/>
    <w:rPr>
      <w:rFonts w:eastAsia="Times New Roman" w:cs="Times New Roman"/>
      <w:b/>
      <w:sz w:val="30"/>
      <w:szCs w:val="20"/>
    </w:rPr>
  </w:style>
  <w:style w:type="paragraph" w:styleId="Header">
    <w:name w:val="header"/>
    <w:basedOn w:val="Normal"/>
    <w:link w:val="HeaderChar"/>
    <w:uiPriority w:val="99"/>
    <w:semiHidden/>
    <w:unhideWhenUsed/>
    <w:rsid w:val="005128DD"/>
    <w:pPr>
      <w:tabs>
        <w:tab w:val="center" w:pos="4320"/>
        <w:tab w:val="right" w:pos="8640"/>
      </w:tabs>
    </w:pPr>
  </w:style>
  <w:style w:type="character" w:customStyle="1" w:styleId="HeaderChar">
    <w:name w:val="Header Char"/>
    <w:basedOn w:val="DefaultParagraphFont"/>
    <w:link w:val="Header"/>
    <w:uiPriority w:val="99"/>
    <w:semiHidden/>
    <w:rsid w:val="005128DD"/>
    <w:rPr>
      <w:rFonts w:eastAsia="Times New Roman" w:cs="Times New Roman"/>
      <w:szCs w:val="20"/>
    </w:rPr>
  </w:style>
  <w:style w:type="paragraph" w:styleId="Footer">
    <w:name w:val="footer"/>
    <w:basedOn w:val="Normal"/>
    <w:link w:val="FooterChar"/>
    <w:uiPriority w:val="99"/>
    <w:unhideWhenUsed/>
    <w:rsid w:val="005128DD"/>
    <w:pPr>
      <w:tabs>
        <w:tab w:val="center" w:pos="4680"/>
        <w:tab w:val="right" w:pos="9360"/>
      </w:tabs>
    </w:pPr>
  </w:style>
  <w:style w:type="character" w:customStyle="1" w:styleId="FooterChar">
    <w:name w:val="Footer Char"/>
    <w:basedOn w:val="DefaultParagraphFont"/>
    <w:link w:val="Footer"/>
    <w:uiPriority w:val="99"/>
    <w:rsid w:val="005128DD"/>
    <w:rPr>
      <w:rFonts w:eastAsia="Times New Roman" w:cs="Times New Roman"/>
      <w:szCs w:val="20"/>
    </w:rPr>
  </w:style>
  <w:style w:type="character" w:styleId="PageNumber">
    <w:name w:val="page number"/>
    <w:basedOn w:val="DefaultParagraphFont"/>
    <w:uiPriority w:val="99"/>
    <w:semiHidden/>
    <w:unhideWhenUsed/>
    <w:rsid w:val="005128DD"/>
  </w:style>
  <w:style w:type="character" w:styleId="LineNumber">
    <w:name w:val="line number"/>
    <w:basedOn w:val="DefaultParagraphFont"/>
    <w:uiPriority w:val="99"/>
    <w:semiHidden/>
    <w:unhideWhenUsed/>
    <w:rsid w:val="005128DD"/>
  </w:style>
  <w:style w:type="paragraph" w:customStyle="1" w:styleId="BillDots">
    <w:name w:val="BillDots"/>
    <w:basedOn w:val="Normal"/>
    <w:autoRedefine/>
    <w:qFormat/>
    <w:rsid w:val="005128D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128DD"/>
    <w:pPr>
      <w:tabs>
        <w:tab w:val="right" w:pos="5904"/>
      </w:tabs>
    </w:pPr>
  </w:style>
  <w:style w:type="character" w:customStyle="1" w:styleId="Heading2Char">
    <w:name w:val="Heading 2 Char"/>
    <w:basedOn w:val="DefaultParagraphFont"/>
    <w:link w:val="Heading2"/>
    <w:rsid w:val="00B130CE"/>
    <w:rPr>
      <w:rFonts w:ascii="Arial" w:eastAsia="Times New Roman" w:hAnsi="Arial" w:cs="Times New Roman"/>
      <w:b/>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74EA1-6118-41F9-946F-0BB678441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2241</Words>
  <Characters>12777</Characters>
  <Application>Microsoft Office Word</Application>
  <DocSecurity>0</DocSecurity>
  <Lines>106</Lines>
  <Paragraphs>29</Paragraphs>
  <ScaleCrop>false</ScaleCrop>
  <Company> </Company>
  <LinksUpToDate>false</LinksUpToDate>
  <CharactersWithSpaces>14989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MiriamCook</cp:lastModifiedBy>
  <cp:revision>2</cp:revision>
  <cp:lastPrinted>2010-05-04T18:23:00Z</cp:lastPrinted>
  <dcterms:created xsi:type="dcterms:W3CDTF">2010-05-04T21:43:00Z</dcterms:created>
  <dcterms:modified xsi:type="dcterms:W3CDTF">2010-05-04T21:43:00Z</dcterms:modified>
</cp:coreProperties>
</file>