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AND COMMEND THE SOUTH CAROLINA FORESTRY COMMISSION IN ITS VALIANT CONTROL OF THE HIGHWAY 31 WILDFIRE IN HORRY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Forestry Commission led a large team of firefighters from approximately forty different multi-state agencies to control what is known as the Highway 31 Wildfire in Horry County in April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around 500 personnel were involved in land and air suppression efforts, including over 120 Commission personnel;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fire was the second largest wildfire in state history at almost 20,000 acres and the worst ever with damage and costs in the tens of millions of dollars;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damage was extensive to timber, homes, equipment, and personal lives.  However, damage would have been much worse without the heroic efforts of many firefighters.  Around 1000 homes were threatened but saved, and most importantly, the entire operation was blessed in that there were no significant injuries or deaths;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some of the firefighters include Terry Cook and Wayne Springs, both of Williamsburg County, who deployed fire shelters to protect themselves when their positions were overrun by the fast moving wildfire;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three of the key field operations leaders include Harold Lawrimore, a Williamsburg County firefighter and supervisor; </w:t>
      </w:r>
      <w:r>
        <w:rPr>
          <w:rFonts w:eastAsia="Times New Roman"/>
        </w:rPr>
        <w:lastRenderedPageBreak/>
        <w:t>Mike Bozzo, an Incident Commander from Columbia; and Mike Ney, an Operations Chief from Williamsburg County;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just a few of the firefighters include Becky Bradstreet, Jonathan Calore, David West, Larry Moody, and Gene Kodama;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with the forest, agriculture, outdoor, and tourism economy being primary drivers of the state’s economy, the control of wildfires has become even more important in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commend the South Carolina Forestry Commission in its valiant control of the Highway 31 Wildfire in Horry County in April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South Carolina Forestry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B192A0-88AF-4BF5-9F1F-32D5E1670533}"/>
    <w:embedBold r:id="rId2" w:fontKey="{8A1ACCF4-A542-4DDE-81BC-EA5C54FE1012}"/>
  </w:font>
  <w:font w:name="Calibri">
    <w:panose1 w:val="020F0502020204030204"/>
    <w:charset w:val="00"/>
    <w:family w:val="swiss"/>
    <w:pitch w:val="variable"/>
    <w:sig w:usb0="A00002EF" w:usb1="4000207B" w:usb2="00000000" w:usb3="00000000" w:csb0="0000009F" w:csb1="00000000"/>
    <w:embedRegular r:id="rId3" w:fontKey="{C09EF394-779D-4945-980E-D9228DDF4AB0}"/>
  </w:font>
  <w:font w:name="Cambria">
    <w:panose1 w:val="02040503050406030204"/>
    <w:charset w:val="00"/>
    <w:family w:val="roman"/>
    <w:pitch w:val="variable"/>
    <w:sig w:usb0="A00002EF" w:usb1="4000004B" w:usb2="00000000" w:usb3="00000000" w:csb0="0000009F" w:csb1="00000000"/>
    <w:embedRegular r:id="rId4" w:fontKey="{B706CC25-E400-4155-B799-9D846B3A81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02FIRE.MRH.JYM"/>
    <w:docVar w:name="CoverAttorneyInitials" w:val="MRH"/>
    <w:docVar w:name="CoverAttorneyLastName" w:val="Hitchcock"/>
    <w:docVar w:name="CoverBillType" w:val="r"/>
    <w:docVar w:name="CoverSenator" w:val="JYM"/>
    <w:docVar w:name="dvBillNumber" w:val="772"/>
    <w:docVar w:name="dvBillNumberPrefix" w:val="S. "/>
    <w:docVar w:name="dvOriginalBody" w:val="Senate"/>
    <w:docVar w:name="fulldraftpath" w:val="L:\S-RES\JYM\002FIRE.MRH.JY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2009-04-30T15:39:00Z</cp:lastPrinted>
  <dcterms:created xsi:type="dcterms:W3CDTF">2009-04-30T15:56:00Z</dcterms:created>
  <dcterms:modified xsi:type="dcterms:W3CDTF">2009-04-30T15:56:00Z</dcterms:modified>
</cp:coreProperties>
</file>