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rPr>
        <w:t>TO AMEND ARTICLE 1, CHAPTER 103, TITLE 59 OF THE 1976 CODE, RELATING TO THE COMMISSION ON HIGHER EDUCATION, BY ADDING SECTION 59</w:t>
      </w:r>
      <w:r>
        <w:rPr>
          <w:rFonts w:eastAsia="Times New Roman"/>
        </w:rPr>
        <w:noBreakHyphen/>
        <w:t>103</w:t>
      </w:r>
      <w:r>
        <w:rPr>
          <w:rFonts w:eastAsia="Times New Roman"/>
        </w:rPr>
        <w:noBreakHyphen/>
        <w:t xml:space="preserve">115 TO PROVIDE THAT EACH PUBLIC INSTITUTION OF HIGHER LEARNING </w:t>
      </w:r>
      <w:r>
        <w:rPr>
          <w:color w:val="000000" w:themeColor="text1"/>
          <w:u w:color="000000" w:themeColor="text1"/>
        </w:rPr>
        <w:t>MUST MAINTAIN A DETAILED TRANSACTION REGISTER OF ALL FUNDS EXPENDED EACH MONTH AND POST THAT REGISTER ONLINE, AND TO PROVIDE THAT EACH PUBLIC INSTITUTION OF HIGHER LEARNING MUST POST ONLINE ALL OF ITS CREDIT CARD STATEMENTS AND THE CREDIT CARD STATEMENTS FOR CREDIT CARDS ISSUED TO PUBLIC OFFICIALS AND EMPLOYEES FOR PUBLIC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Article 1, Chapter 103,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103</w:t>
      </w:r>
      <w:r>
        <w:rPr>
          <w:rFonts w:eastAsia="Times New Roman"/>
          <w:color w:val="000000" w:themeColor="text1"/>
          <w:u w:color="000000" w:themeColor="text1"/>
        </w:rPr>
        <w:noBreakHyphen/>
        <w:t>115.</w:t>
      </w:r>
      <w:r>
        <w:rPr>
          <w:rFonts w:eastAsia="Times New Roman"/>
          <w:color w:val="000000" w:themeColor="text1"/>
          <w:u w:color="000000" w:themeColor="text1"/>
        </w:rPr>
        <w:tab/>
        <w:t>(A)</w:t>
      </w:r>
      <w:r>
        <w:rPr>
          <w:rFonts w:eastAsia="Times New Roman"/>
          <w:color w:val="000000" w:themeColor="text1"/>
          <w:u w:color="000000" w:themeColor="text1"/>
        </w:rPr>
        <w:tab/>
      </w:r>
      <w:r>
        <w:rPr>
          <w:rFonts w:eastAsia="Times New Roman"/>
          <w:color w:val="000000" w:themeColor="text1"/>
          <w:szCs w:val="20"/>
          <w:u w:color="000000" w:themeColor="text1"/>
        </w:rPr>
        <w:t xml:space="preserve">Each </w:t>
      </w:r>
      <w:r>
        <w:rPr>
          <w:color w:val="000000" w:themeColor="text1"/>
          <w:u w:color="000000" w:themeColor="text1"/>
        </w:rPr>
        <w:t>public institution of higher learning</w:t>
      </w:r>
      <w:r>
        <w:rPr>
          <w:rFonts w:eastAsia="Times New Roman"/>
          <w:color w:val="000000" w:themeColor="text1"/>
          <w:szCs w:val="20"/>
          <w:u w:color="000000" w:themeColor="text1"/>
        </w:rPr>
        <w:t xml:space="preserve"> shall maintain a transaction register that includes a complete record of all funds expended over one hundred dollars, from whatever source for whatever purpose.  The register must be prominently posted on the institution’s internet website and made available for public viewing and downloading.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(1)(a)</w:t>
      </w:r>
      <w:r>
        <w:rPr>
          <w:rFonts w:eastAsia="Times New Roman"/>
          <w:color w:val="000000" w:themeColor="text1"/>
          <w:szCs w:val="20"/>
          <w:u w:color="000000" w:themeColor="text1"/>
        </w:rPr>
        <w:tab/>
        <w:t>The register must include for each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w:t>
      </w:r>
      <w:r>
        <w:rPr>
          <w:rFonts w:eastAsia="Times New Roman"/>
          <w:color w:val="000000" w:themeColor="text1"/>
          <w:szCs w:val="20"/>
          <w:u w:color="000000" w:themeColor="text1"/>
        </w:rPr>
        <w:tab/>
      </w:r>
      <w:r>
        <w:rPr>
          <w:rFonts w:eastAsia="Times New Roman"/>
          <w:color w:val="000000" w:themeColor="text1"/>
          <w:szCs w:val="20"/>
          <w:u w:color="000000" w:themeColor="text1"/>
        </w:rPr>
        <w:tab/>
        <w:t>the transaction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(ii)</w:t>
      </w:r>
      <w:r>
        <w:rPr>
          <w:rFonts w:eastAsia="Times New Roman"/>
          <w:color w:val="000000" w:themeColor="text1"/>
          <w:szCs w:val="20"/>
          <w:u w:color="000000" w:themeColor="text1"/>
        </w:rPr>
        <w:tab/>
        <w:t>the name of the payee;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(iii)</w:t>
      </w:r>
      <w:r>
        <w:rPr>
          <w:rFonts w:eastAsia="Times New Roman"/>
          <w:color w:val="000000" w:themeColor="text1"/>
          <w:szCs w:val="20"/>
          <w:u w:color="000000" w:themeColor="text1"/>
        </w:rPr>
        <w:tab/>
        <w:t>a statement providing a detailed description of the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The register must not include an entry for salary, wages, or other compensation paid to individual employees.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The register must not include any information that can be used to identify an individual employee.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The register must be accompanied by a complete explanation of any codes or acronyms used to identify a payee or an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The register must be searchable and updated at least once a month.  Each monthly register must be maintained on the internet website for at least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 xml:space="preserve">Each </w:t>
      </w:r>
      <w:r>
        <w:rPr>
          <w:color w:val="000000" w:themeColor="text1"/>
          <w:u w:color="000000" w:themeColor="text1"/>
        </w:rPr>
        <w:t>public institution of higher learning</w:t>
      </w:r>
      <w:r>
        <w:rPr>
          <w:rFonts w:eastAsia="Times New Roman"/>
          <w:color w:val="000000" w:themeColor="text1"/>
          <w:szCs w:val="20"/>
          <w:u w:color="000000" w:themeColor="text1"/>
        </w:rPr>
        <w:t xml:space="preserve"> shall also maintain on its internet website a copy of each monthly statement for all of the credit cards maintained by the entity, including credit cards issued to its officers or employees for official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w:t>
      </w:r>
      <w:r>
        <w:rPr>
          <w:rFonts w:eastAsia="Times New Roman"/>
          <w:color w:val="000000" w:themeColor="text1"/>
          <w:szCs w:val="20"/>
          <w:u w:color="000000" w:themeColor="text1"/>
        </w:rPr>
        <w:tab/>
        <w:t>The credit card number on each statement must be redacted prior to posting on the internet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Each credit card statement must be posted not later than the thirtieth day after the first date that any portion of the balance due as shown on the statement is paid.  Each statement must be maintained on the website for at least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E0FED4-8778-4860-A131-1E66B0344C47}"/>
    <w:embedBold r:id="rId2" w:fontKey="{1E8C96EE-1C33-4A94-905C-483954F43AF3}"/>
  </w:font>
  <w:font w:name="Calibri">
    <w:panose1 w:val="020F0502020204030204"/>
    <w:charset w:val="00"/>
    <w:family w:val="swiss"/>
    <w:pitch w:val="variable"/>
    <w:sig w:usb0="A00002EF" w:usb1="4000207B" w:usb2="00000000" w:usb3="00000000" w:csb0="0000009F" w:csb1="00000000"/>
    <w:embedRegular r:id="rId3" w:fontKey="{348F196B-55A5-4AFE-AE3A-E06723764469}"/>
  </w:font>
  <w:font w:name="Cambria">
    <w:panose1 w:val="02040503050406030204"/>
    <w:charset w:val="00"/>
    <w:family w:val="roman"/>
    <w:pitch w:val="variable"/>
    <w:sig w:usb0="A00002EF" w:usb1="4000004B" w:usb2="00000000" w:usb3="00000000" w:csb0="0000009F" w:csb1="00000000"/>
    <w:embedRegular r:id="rId4" w:fontKey="{A376E2F1-E6CE-4331-AE85-CD1D92591A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[789]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19UNIV.KMM.MTR"/>
    <w:docVar w:name="CoverAttorneyInitials" w:val="KMM"/>
    <w:docVar w:name="CoverAttorneyLastName" w:val="Moffitt"/>
    <w:docVar w:name="CoverBillType" w:val="b"/>
    <w:docVar w:name="CoverSenator" w:val="MTR"/>
    <w:docVar w:name="dvBillNumber" w:val="789"/>
    <w:docVar w:name="dvBillNumberPrefix" w:val="S. "/>
    <w:docVar w:name="dvOriginalBody" w:val="Senate"/>
    <w:docVar w:name="fulldraftpath" w:val="L:\S-RES\MTR\019UNIV.KMM.MTR.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dcterms:created xsi:type="dcterms:W3CDTF">2009-05-06T16:54:00Z</dcterms:created>
  <dcterms:modified xsi:type="dcterms:W3CDTF">2009-05-06T16:54:00Z</dcterms:modified>
</cp:coreProperties>
</file>