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5</w:t>
      </w:r>
      <w:r>
        <w:rPr>
          <w:rFonts w:eastAsia="Times New Roman" w:cs="Times New Roman"/>
          <w:szCs w:val="20"/>
        </w:rPr>
        <w:noBreakHyphen/>
        <w:t>7</w:t>
      </w:r>
      <w:r>
        <w:rPr>
          <w:rFonts w:eastAsia="Times New Roman" w:cs="Times New Roman"/>
          <w:szCs w:val="20"/>
        </w:rPr>
        <w:noBreakHyphen/>
        <w:t>50, CODE OF LAWS OF SOUTH CAROLINA, 1976, RELATING TO THE POWER OF CONDEMNATION BY A MUNICIPALITY, SO AS TO PROVIDE THAT THIS POWER DOES NOT INCLUDE OWNER</w:t>
      </w:r>
      <w:r>
        <w:rPr>
          <w:rFonts w:eastAsia="Times New Roman" w:cs="Times New Roman"/>
          <w:szCs w:val="20"/>
        </w:rPr>
        <w:noBreakHyphen/>
        <w:t>OCCUPIED RESIDENTIAL PROPERTY LOCATED OUTSIDE OF A MUNICIPALITY.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w:t>
      </w:r>
      <w:r>
        <w:rPr>
          <w:rFonts w:eastAsia="Times New Roman" w:cs="Times New Roman"/>
          <w:szCs w:val="20"/>
        </w:rPr>
        <w:noBreakHyphen/>
        <w:t>7</w:t>
      </w:r>
      <w:r>
        <w:rPr>
          <w:rFonts w:eastAsia="Times New Roman" w:cs="Times New Roman"/>
          <w:szCs w:val="20"/>
        </w:rPr>
        <w:noBreakHyphen/>
        <w:t>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5</w:t>
      </w:r>
      <w:r>
        <w:rPr>
          <w:rFonts w:eastAsia="Times New Roman" w:cs="Times New Roman"/>
          <w:szCs w:val="20"/>
        </w:rPr>
        <w:noBreakHyphen/>
        <w:t>7</w:t>
      </w:r>
      <w:r>
        <w:rPr>
          <w:rFonts w:eastAsia="Times New Roman" w:cs="Times New Roman"/>
          <w:szCs w:val="20"/>
        </w:rPr>
        <w:noBreakHyphen/>
        <w:t>50.</w:t>
      </w:r>
      <w:r>
        <w:rPr>
          <w:rFonts w:eastAsia="Times New Roman" w:cs="Times New Roman"/>
          <w:szCs w:val="20"/>
        </w:rPr>
        <w:tab/>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municipality desiring to become the owner of any land or to acquire any easement or right</w:t>
      </w:r>
      <w:r>
        <w:rPr>
          <w:rFonts w:eastAsia="Times New Roman" w:cs="Times New Roman"/>
          <w:szCs w:val="20"/>
        </w:rPr>
        <w:noBreakHyphen/>
        <w:t>of</w:t>
      </w:r>
      <w:r>
        <w:rPr>
          <w:rFonts w:eastAsia="Times New Roman" w:cs="Times New Roman"/>
          <w:szCs w:val="20"/>
        </w:rPr>
        <w:noBreakHyphen/>
        <w:t xml:space="preserve">way </w:t>
      </w:r>
      <w:r>
        <w:rPr>
          <w:rFonts w:eastAsia="Times New Roman" w:cs="Times New Roman"/>
          <w:strike/>
          <w:szCs w:val="20"/>
        </w:rPr>
        <w:t>therein</w:t>
      </w:r>
      <w:r>
        <w:rPr>
          <w:rFonts w:eastAsia="Times New Roman" w:cs="Times New Roman"/>
          <w:szCs w:val="20"/>
        </w:rPr>
        <w:t xml:space="preserve"> </w:t>
      </w:r>
      <w:r>
        <w:rPr>
          <w:rFonts w:eastAsia="Times New Roman" w:cs="Times New Roman"/>
          <w:szCs w:val="20"/>
          <w:u w:val="single"/>
        </w:rPr>
        <w:t>in it</w:t>
      </w:r>
      <w:r>
        <w:rPr>
          <w:rFonts w:eastAsia="Times New Roman" w:cs="Times New Roman"/>
          <w:szCs w:val="20"/>
        </w:rPr>
        <w:t xml:space="preserve"> for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an</w:t>
      </w:r>
      <w:r>
        <w:rPr>
          <w:rFonts w:eastAsia="Times New Roman" w:cs="Times New Roman"/>
          <w:szCs w:val="20"/>
        </w:rPr>
        <w:t xml:space="preserve"> authorized corporate or public purpose </w:t>
      </w:r>
      <w:r>
        <w:rPr>
          <w:rFonts w:eastAsia="Times New Roman" w:cs="Times New Roman"/>
          <w:strike/>
          <w:szCs w:val="20"/>
        </w:rPr>
        <w:t>shall have</w:t>
      </w:r>
      <w:r>
        <w:rPr>
          <w:rFonts w:eastAsia="Times New Roman" w:cs="Times New Roman"/>
          <w:szCs w:val="20"/>
        </w:rPr>
        <w:t xml:space="preserve"> </w:t>
      </w:r>
      <w:r>
        <w:rPr>
          <w:rFonts w:eastAsia="Times New Roman" w:cs="Times New Roman"/>
          <w:szCs w:val="20"/>
          <w:u w:val="single"/>
        </w:rPr>
        <w:t>has</w:t>
      </w:r>
      <w:r>
        <w:rPr>
          <w:rFonts w:eastAsia="Times New Roman" w:cs="Times New Roman"/>
          <w:szCs w:val="20"/>
        </w:rPr>
        <w:t xml:space="preserve"> the right to condemn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land or right</w:t>
      </w:r>
      <w:r>
        <w:rPr>
          <w:rFonts w:eastAsia="Times New Roman" w:cs="Times New Roman"/>
          <w:szCs w:val="20"/>
        </w:rPr>
        <w:noBreakHyphen/>
        <w:t>of</w:t>
      </w:r>
      <w:r>
        <w:rPr>
          <w:rFonts w:eastAsia="Times New Roman" w:cs="Times New Roman"/>
          <w:szCs w:val="20"/>
        </w:rPr>
        <w:noBreakHyphen/>
        <w:t xml:space="preserve">way or easement, subject to the general law of this State, within and without the corporate limits in the county in which it is situated and in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an</w:t>
      </w:r>
      <w:r>
        <w:rPr>
          <w:rFonts w:eastAsia="Times New Roman" w:cs="Times New Roman"/>
          <w:szCs w:val="20"/>
        </w:rPr>
        <w:t xml:space="preserve"> adjoining county </w:t>
      </w:r>
      <w:r>
        <w:rPr>
          <w:rFonts w:eastAsia="Times New Roman" w:cs="Times New Roman"/>
          <w:strike/>
          <w:szCs w:val="20"/>
        </w:rPr>
        <w:t>or counties</w:t>
      </w:r>
      <w:r>
        <w:rPr>
          <w:rFonts w:eastAsia="Times New Roman" w:cs="Times New Roman"/>
          <w:szCs w:val="20"/>
        </w:rPr>
        <w:t xml:space="preserve">.  This authority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does</w:t>
      </w:r>
      <w:r>
        <w:rPr>
          <w:rFonts w:eastAsia="Times New Roman" w:cs="Times New Roman"/>
          <w:szCs w:val="20"/>
        </w:rPr>
        <w:t xml:space="preserve"> not apply to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property devoted to public use </w:t>
      </w:r>
      <w:r>
        <w:rPr>
          <w:rFonts w:eastAsia="Times New Roman" w:cs="Times New Roman"/>
          <w:szCs w:val="20"/>
          <w:u w:val="single"/>
        </w:rPr>
        <w:t>or owner</w:t>
      </w:r>
      <w:r>
        <w:rPr>
          <w:rFonts w:eastAsia="Times New Roman" w:cs="Times New Roman"/>
          <w:szCs w:val="20"/>
          <w:u w:val="single"/>
        </w:rPr>
        <w:noBreakHyphen/>
        <w:t>occupied residential property which is taxed under the provisions of Section 12</w:t>
      </w:r>
      <w:r>
        <w:rPr>
          <w:rFonts w:eastAsia="Times New Roman" w:cs="Times New Roman"/>
          <w:szCs w:val="20"/>
          <w:u w:val="single"/>
        </w:rPr>
        <w:noBreakHyphen/>
        <w:t>43</w:t>
      </w:r>
      <w:r>
        <w:rPr>
          <w:rFonts w:eastAsia="Times New Roman" w:cs="Times New Roman"/>
          <w:szCs w:val="20"/>
          <w:u w:val="single"/>
        </w:rPr>
        <w:noBreakHyphen/>
        <w:t>220(c) located outside of a municipality</w:t>
      </w:r>
      <w:r>
        <w:rPr>
          <w:rFonts w:eastAsia="Times New Roman" w:cs="Times New Roman"/>
          <w:strike/>
          <w:szCs w:val="20"/>
        </w:rPr>
        <w:t>; provided,</w:t>
      </w:r>
      <w:r>
        <w:rPr>
          <w:rFonts w:eastAsia="Times New Roman" w:cs="Times New Roman"/>
          <w:szCs w:val="20"/>
          <w:u w:val="single"/>
        </w:rPr>
        <w:t>.</w:t>
      </w:r>
      <w:r>
        <w:rPr>
          <w:rFonts w:eastAsia="Times New Roman" w:cs="Times New Roman"/>
          <w:szCs w:val="20"/>
        </w:rPr>
        <w:t xml:space="preserve">  However, the property of corporations not for profit organized </w:t>
      </w:r>
      <w:r>
        <w:rPr>
          <w:rFonts w:eastAsia="Times New Roman" w:cs="Times New Roman"/>
          <w:strike/>
          <w:szCs w:val="20"/>
        </w:rPr>
        <w:t>under</w:t>
      </w:r>
      <w:r>
        <w:rPr>
          <w:rFonts w:eastAsia="Times New Roman" w:cs="Times New Roman"/>
          <w:szCs w:val="20"/>
        </w:rPr>
        <w:t xml:space="preserve"> </w:t>
      </w:r>
      <w:r>
        <w:rPr>
          <w:rFonts w:eastAsia="Times New Roman" w:cs="Times New Roman"/>
          <w:szCs w:val="20"/>
          <w:u w:val="single"/>
        </w:rPr>
        <w:t>pursuant to</w:t>
      </w:r>
      <w:r>
        <w:rPr>
          <w:rFonts w:eastAsia="Times New Roman" w:cs="Times New Roman"/>
          <w:szCs w:val="20"/>
        </w:rPr>
        <w:t xml:space="preserve"> the provisions of Chapter 35 of Title 33,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not </w:t>
      </w:r>
      <w:r>
        <w:rPr>
          <w:rFonts w:eastAsia="Times New Roman" w:cs="Times New Roman"/>
          <w:strike/>
          <w:szCs w:val="20"/>
        </w:rPr>
        <w:t>be</w:t>
      </w:r>
      <w:r>
        <w:rPr>
          <w:rFonts w:eastAsia="Times New Roman" w:cs="Times New Roman"/>
          <w:szCs w:val="20"/>
        </w:rPr>
        <w:t xml:space="preserve"> subject to condemnation unless the municipality in which their service area is located intends to make comparable water service available in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service area and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condemnation is for that purpose.  After </w:t>
      </w:r>
      <w:r>
        <w:rPr>
          <w:rFonts w:eastAsia="Times New Roman" w:cs="Times New Roman"/>
          <w:strike/>
          <w:szCs w:val="20"/>
        </w:rPr>
        <w:t>any 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condemnation, the municipality shall assume all obligations of the corporation related to the property and the facilities </w:t>
      </w:r>
      <w:r>
        <w:rPr>
          <w:rFonts w:eastAsia="Times New Roman" w:cs="Times New Roman"/>
          <w:strike/>
          <w:szCs w:val="20"/>
        </w:rPr>
        <w:t>thereon</w:t>
      </w:r>
      <w:r>
        <w:rPr>
          <w:rFonts w:eastAsia="Times New Roman" w:cs="Times New Roman"/>
          <w:szCs w:val="20"/>
        </w:rPr>
        <w:t xml:space="preserve"> </w:t>
      </w:r>
      <w:r>
        <w:rPr>
          <w:rFonts w:eastAsia="Times New Roman" w:cs="Times New Roman"/>
          <w:szCs w:val="20"/>
          <w:u w:val="single"/>
        </w:rPr>
        <w:t>on it</w:t>
      </w:r>
      <w:r>
        <w:rPr>
          <w:rFonts w:eastAsia="Times New Roman" w:cs="Times New Roman"/>
          <w:szCs w:val="20"/>
        </w:rPr>
        <w:t xml:space="preserve"> which were condemned.  </w:t>
      </w:r>
      <w:r>
        <w:rPr>
          <w:rFonts w:eastAsia="Times New Roman" w:cs="Times New Roman"/>
          <w:strike/>
          <w:szCs w:val="20"/>
        </w:rPr>
        <w:t>Provided,</w:t>
      </w:r>
      <w:r>
        <w:rPr>
          <w:rFonts w:eastAsia="Times New Roman" w:cs="Times New Roman"/>
          <w:szCs w:val="20"/>
        </w:rPr>
        <w:t xml:space="preserve"> However, that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an</w:t>
      </w:r>
      <w:r>
        <w:rPr>
          <w:rFonts w:eastAsia="Times New Roman" w:cs="Times New Roman"/>
          <w:szCs w:val="20"/>
        </w:rPr>
        <w:t xml:space="preserve"> incorporated municipality, or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housing or redevelopment authority now existing or </w:t>
      </w:r>
      <w:r>
        <w:rPr>
          <w:rFonts w:eastAsia="Times New Roman" w:cs="Times New Roman"/>
          <w:strike/>
          <w:szCs w:val="20"/>
        </w:rPr>
        <w:t>hereafter</w:t>
      </w:r>
      <w:r>
        <w:rPr>
          <w:rFonts w:eastAsia="Times New Roman" w:cs="Times New Roman"/>
          <w:szCs w:val="20"/>
        </w:rPr>
        <w:t xml:space="preserve"> established </w:t>
      </w:r>
      <w:r>
        <w:rPr>
          <w:rFonts w:eastAsia="Times New Roman" w:cs="Times New Roman"/>
          <w:szCs w:val="20"/>
          <w:u w:val="single"/>
        </w:rPr>
        <w:t>after the effective date of this section</w:t>
      </w:r>
      <w:r>
        <w:rPr>
          <w:rFonts w:eastAsia="Times New Roman" w:cs="Times New Roman"/>
          <w:szCs w:val="20"/>
        </w:rPr>
        <w:t xml:space="preserve"> to function, may undertake and carry out slum clearance and redevelopment work in areas which are predominately slum or blighted, the preparation of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these</w:t>
      </w:r>
      <w:r>
        <w:rPr>
          <w:rFonts w:eastAsia="Times New Roman" w:cs="Times New Roman"/>
          <w:szCs w:val="20"/>
        </w:rPr>
        <w:t xml:space="preserve"> areas for reuse, and the sale or other disposition of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these</w:t>
      </w:r>
      <w:r>
        <w:rPr>
          <w:rFonts w:eastAsia="Times New Roman" w:cs="Times New Roman"/>
          <w:szCs w:val="20"/>
        </w:rPr>
        <w:t xml:space="preserve"> areas to private enterprise or to public bodies for public uses and to that end the General Assembly delegates to any incorporated municipality, or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these</w:t>
      </w:r>
      <w:r>
        <w:rPr>
          <w:rFonts w:eastAsia="Times New Roman" w:cs="Times New Roman"/>
          <w:szCs w:val="20"/>
        </w:rPr>
        <w:t xml:space="preserve"> authorities, the right to exercise the power of eminent domain as to any property essential to the plan of slum clearance and redevelopment.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An</w:t>
      </w:r>
      <w:r>
        <w:rPr>
          <w:rFonts w:eastAsia="Times New Roman" w:cs="Times New Roman"/>
          <w:szCs w:val="20"/>
        </w:rPr>
        <w:t xml:space="preserve"> incorporated municipality, </w:t>
      </w:r>
      <w:r>
        <w:rPr>
          <w:rFonts w:eastAsia="Times New Roman" w:cs="Times New Roman"/>
          <w:szCs w:val="20"/>
          <w:u w:val="single"/>
        </w:rPr>
        <w:t>a</w:t>
      </w:r>
      <w:r>
        <w:rPr>
          <w:rFonts w:eastAsia="Times New Roman" w:cs="Times New Roman"/>
          <w:szCs w:val="20"/>
        </w:rPr>
        <w:t xml:space="preserve"> political subdivision</w:t>
      </w:r>
      <w:r>
        <w:rPr>
          <w:rFonts w:eastAsia="Times New Roman" w:cs="Times New Roman"/>
          <w:szCs w:val="20"/>
          <w:u w:val="single"/>
        </w:rPr>
        <w:t>,</w:t>
      </w:r>
      <w:r>
        <w:rPr>
          <w:rFonts w:eastAsia="Times New Roman" w:cs="Times New Roman"/>
          <w:szCs w:val="20"/>
        </w:rPr>
        <w:t xml:space="preserve"> or </w:t>
      </w:r>
      <w:r>
        <w:rPr>
          <w:rFonts w:eastAsia="Times New Roman" w:cs="Times New Roman"/>
          <w:szCs w:val="20"/>
          <w:u w:val="single"/>
        </w:rPr>
        <w:t>an</w:t>
      </w:r>
      <w:r>
        <w:rPr>
          <w:rFonts w:eastAsia="Times New Roman" w:cs="Times New Roman"/>
          <w:szCs w:val="20"/>
        </w:rPr>
        <w:t xml:space="preserve"> authority may acquire air rights or subsurface rights, both as </w:t>
      </w:r>
      <w:r>
        <w:rPr>
          <w:rFonts w:eastAsia="Times New Roman" w:cs="Times New Roman"/>
          <w:strike/>
          <w:szCs w:val="20"/>
        </w:rPr>
        <w:t>hereinafter</w:t>
      </w:r>
      <w:r>
        <w:rPr>
          <w:rFonts w:eastAsia="Times New Roman" w:cs="Times New Roman"/>
          <w:szCs w:val="20"/>
        </w:rPr>
        <w:t xml:space="preserve"> defined </w:t>
      </w:r>
      <w:r>
        <w:rPr>
          <w:rFonts w:eastAsia="Times New Roman" w:cs="Times New Roman"/>
          <w:szCs w:val="20"/>
          <w:u w:val="single"/>
        </w:rPr>
        <w:t>in this section</w:t>
      </w:r>
      <w:r>
        <w:rPr>
          <w:rFonts w:eastAsia="Times New Roman" w:cs="Times New Roman"/>
          <w:szCs w:val="20"/>
        </w:rPr>
        <w:t>, by any means permitted by law for acquisition of real estate, including eminent domain, and may dispose of air rights and subsurface rights regardless of who or for what purpose acquired for private or public use by lease, mortgage, sale</w:t>
      </w:r>
      <w:r>
        <w:rPr>
          <w:rFonts w:eastAsia="Times New Roman" w:cs="Times New Roman"/>
          <w:szCs w:val="20"/>
          <w:u w:val="single"/>
        </w:rPr>
        <w:t>,</w:t>
      </w:r>
      <w:r>
        <w:rPr>
          <w:rFonts w:eastAsia="Times New Roman" w:cs="Times New Roman"/>
          <w:szCs w:val="20"/>
        </w:rPr>
        <w:t xml:space="preserve"> or otherwise.  </w:t>
      </w:r>
      <w:r>
        <w:rPr>
          <w:rFonts w:eastAsia="Times New Roman" w:cs="Times New Roman"/>
          <w:szCs w:val="20"/>
          <w:u w:val="single"/>
        </w:rPr>
        <w:t>‘</w:t>
      </w:r>
      <w:r>
        <w:rPr>
          <w:rFonts w:eastAsia="Times New Roman" w:cs="Times New Roman"/>
          <w:szCs w:val="20"/>
        </w:rPr>
        <w:t>Air rights</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shall mean</w:t>
      </w:r>
      <w:r>
        <w:rPr>
          <w:rFonts w:eastAsia="Times New Roman" w:cs="Times New Roman"/>
          <w:szCs w:val="20"/>
        </w:rPr>
        <w:t xml:space="preserve"> </w:t>
      </w:r>
      <w:r>
        <w:rPr>
          <w:rFonts w:eastAsia="Times New Roman" w:cs="Times New Roman"/>
          <w:szCs w:val="20"/>
          <w:u w:val="single"/>
        </w:rPr>
        <w:t>mean</w:t>
      </w:r>
      <w:r>
        <w:rPr>
          <w:rFonts w:eastAsia="Times New Roman" w:cs="Times New Roman"/>
          <w:szCs w:val="20"/>
        </w:rPr>
        <w:t xml:space="preserve"> estates, rights</w:t>
      </w:r>
      <w:r>
        <w:rPr>
          <w:rFonts w:eastAsia="Times New Roman" w:cs="Times New Roman"/>
          <w:szCs w:val="20"/>
          <w:u w:val="single"/>
        </w:rPr>
        <w:t>,</w:t>
      </w:r>
      <w:r>
        <w:rPr>
          <w:rFonts w:eastAsia="Times New Roman" w:cs="Times New Roman"/>
          <w:szCs w:val="20"/>
        </w:rPr>
        <w:t xml:space="preserve"> and interests in the space above the surface of the ground or the surface of streets, roads, or </w:t>
      </w:r>
      <w:r>
        <w:rPr>
          <w:rFonts w:eastAsia="Times New Roman" w:cs="Times New Roman"/>
          <w:strike/>
          <w:szCs w:val="20"/>
        </w:rPr>
        <w:t>rights</w:t>
      </w:r>
      <w:r>
        <w:rPr>
          <w:rFonts w:eastAsia="Times New Roman" w:cs="Times New Roman"/>
          <w:strike/>
          <w:szCs w:val="20"/>
        </w:rPr>
        <w:noBreakHyphen/>
        <w:t>of</w:t>
      </w:r>
      <w:r>
        <w:rPr>
          <w:rFonts w:eastAsia="Times New Roman" w:cs="Times New Roman"/>
          <w:strike/>
          <w:szCs w:val="20"/>
        </w:rPr>
        <w:noBreakHyphen/>
        <w:t>ways</w:t>
      </w:r>
      <w:r>
        <w:rPr>
          <w:rFonts w:eastAsia="Times New Roman" w:cs="Times New Roman"/>
          <w:szCs w:val="20"/>
        </w:rPr>
        <w:t xml:space="preserve"> </w:t>
      </w:r>
      <w:r>
        <w:rPr>
          <w:rFonts w:eastAsia="Times New Roman" w:cs="Times New Roman"/>
          <w:szCs w:val="20"/>
          <w:u w:val="single"/>
        </w:rPr>
        <w:t>rights</w:t>
      </w:r>
      <w:r>
        <w:rPr>
          <w:rFonts w:eastAsia="Times New Roman" w:cs="Times New Roman"/>
          <w:szCs w:val="20"/>
          <w:u w:val="single"/>
        </w:rPr>
        <w:noBreakHyphen/>
        <w:t>of way</w:t>
      </w:r>
      <w:r>
        <w:rPr>
          <w:rFonts w:eastAsia="Times New Roman" w:cs="Times New Roman"/>
          <w:szCs w:val="20"/>
        </w:rPr>
        <w:t xml:space="preserve"> including access, support</w:t>
      </w:r>
      <w:r>
        <w:rPr>
          <w:rFonts w:eastAsia="Times New Roman" w:cs="Times New Roman"/>
          <w:szCs w:val="20"/>
          <w:u w:val="single"/>
        </w:rPr>
        <w:t>,</w:t>
      </w:r>
      <w:r>
        <w:rPr>
          <w:rFonts w:eastAsia="Times New Roman" w:cs="Times New Roman"/>
          <w:szCs w:val="20"/>
        </w:rPr>
        <w:t xml:space="preserve"> and other appurtenant rights required for the utilization </w:t>
      </w:r>
      <w:r>
        <w:rPr>
          <w:rFonts w:eastAsia="Times New Roman" w:cs="Times New Roman"/>
          <w:strike/>
          <w:szCs w:val="20"/>
        </w:rPr>
        <w:t>thereof</w:t>
      </w:r>
      <w:r>
        <w:rPr>
          <w:rFonts w:eastAsia="Times New Roman" w:cs="Times New Roman"/>
          <w:szCs w:val="20"/>
        </w:rPr>
        <w:t xml:space="preserve"> </w:t>
      </w:r>
      <w:r>
        <w:rPr>
          <w:rFonts w:eastAsia="Times New Roman" w:cs="Times New Roman"/>
          <w:szCs w:val="20"/>
          <w:u w:val="single"/>
        </w:rPr>
        <w:t>of it</w:t>
      </w:r>
      <w:r>
        <w:rPr>
          <w:rFonts w:eastAsia="Times New Roman" w:cs="Times New Roman"/>
          <w:szCs w:val="20"/>
        </w:rPr>
        <w:t xml:space="preserve">.  </w:t>
      </w:r>
      <w:r>
        <w:rPr>
          <w:rFonts w:eastAsia="Times New Roman" w:cs="Times New Roman"/>
          <w:szCs w:val="20"/>
          <w:u w:val="single"/>
        </w:rPr>
        <w:t>‘</w:t>
      </w:r>
      <w:r>
        <w:rPr>
          <w:rFonts w:eastAsia="Times New Roman" w:cs="Times New Roman"/>
          <w:szCs w:val="20"/>
        </w:rPr>
        <w:t>Subsurface rights</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shall mean</w:t>
      </w:r>
      <w:r>
        <w:rPr>
          <w:rFonts w:eastAsia="Times New Roman" w:cs="Times New Roman"/>
          <w:szCs w:val="20"/>
        </w:rPr>
        <w:t xml:space="preserve"> </w:t>
      </w:r>
      <w:r>
        <w:rPr>
          <w:rFonts w:eastAsia="Times New Roman" w:cs="Times New Roman"/>
          <w:szCs w:val="20"/>
          <w:u w:val="single"/>
        </w:rPr>
        <w:t>mean</w:t>
      </w:r>
      <w:r>
        <w:rPr>
          <w:rFonts w:eastAsia="Times New Roman" w:cs="Times New Roman"/>
          <w:szCs w:val="20"/>
        </w:rPr>
        <w:t xml:space="preserve"> estates, rights</w:t>
      </w:r>
      <w:r>
        <w:rPr>
          <w:rFonts w:eastAsia="Times New Roman" w:cs="Times New Roman"/>
          <w:szCs w:val="20"/>
          <w:u w:val="single"/>
        </w:rPr>
        <w:t>,</w:t>
      </w:r>
      <w:r>
        <w:rPr>
          <w:rFonts w:eastAsia="Times New Roman" w:cs="Times New Roman"/>
          <w:szCs w:val="20"/>
        </w:rPr>
        <w:t xml:space="preserve"> and interests in the space below the surface of the ground or the surface of streets, roads, or rights</w:t>
      </w:r>
      <w:r>
        <w:rPr>
          <w:rFonts w:eastAsia="Times New Roman" w:cs="Times New Roman"/>
          <w:szCs w:val="20"/>
        </w:rPr>
        <w:noBreakHyphen/>
        <w:t>of</w:t>
      </w:r>
      <w:r>
        <w:rPr>
          <w:rFonts w:eastAsia="Times New Roman" w:cs="Times New Roman"/>
          <w:szCs w:val="20"/>
        </w:rPr>
        <w:noBreakHyphen/>
        <w:t>way including access, support</w:t>
      </w:r>
      <w:r>
        <w:rPr>
          <w:rFonts w:eastAsia="Times New Roman" w:cs="Times New Roman"/>
          <w:szCs w:val="20"/>
          <w:u w:val="single"/>
        </w:rPr>
        <w:t>,</w:t>
      </w:r>
      <w:r>
        <w:rPr>
          <w:rFonts w:eastAsia="Times New Roman" w:cs="Times New Roman"/>
          <w:szCs w:val="20"/>
        </w:rPr>
        <w:t xml:space="preserve"> and other appurtenant rights required for the </w:t>
      </w:r>
      <w:r>
        <w:rPr>
          <w:rFonts w:eastAsia="Times New Roman" w:cs="Times New Roman"/>
          <w:strike/>
          <w:szCs w:val="20"/>
        </w:rPr>
        <w:t>utilization</w:t>
      </w:r>
      <w:r>
        <w:rPr>
          <w:rFonts w:eastAsia="Times New Roman" w:cs="Times New Roman"/>
          <w:szCs w:val="20"/>
        </w:rPr>
        <w:t xml:space="preserve"> </w:t>
      </w:r>
      <w:r>
        <w:rPr>
          <w:rFonts w:eastAsia="Times New Roman" w:cs="Times New Roman"/>
          <w:strike/>
          <w:szCs w:val="20"/>
        </w:rPr>
        <w:t>thereof</w:t>
      </w:r>
      <w:r>
        <w:rPr>
          <w:rFonts w:eastAsia="Times New Roman" w:cs="Times New Roman"/>
          <w:szCs w:val="20"/>
        </w:rPr>
        <w:t xml:space="preserve"> </w:t>
      </w:r>
      <w:r>
        <w:rPr>
          <w:rFonts w:eastAsia="Times New Roman" w:cs="Times New Roman"/>
          <w:szCs w:val="20"/>
          <w:u w:val="single"/>
        </w:rPr>
        <w:t>use of it</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643236-FCDC-4429-8884-A502E24A0FA4}"/>
    <w:embedBold r:id="rId2" w:fontKey="{93A09C64-09DF-4A34-B3B2-9673585638AD}"/>
  </w:font>
  <w:font w:name="Calibri">
    <w:panose1 w:val="020F0502020204030204"/>
    <w:charset w:val="00"/>
    <w:family w:val="swiss"/>
    <w:pitch w:val="variable"/>
    <w:sig w:usb0="A00002EF" w:usb1="4000207B" w:usb2="00000000" w:usb3="00000000" w:csb0="0000009F" w:csb1="00000000"/>
    <w:embedRegular r:id="rId3" w:fontKey="{49C0D467-6DE1-406A-B368-A74B01EFC0CF}"/>
  </w:font>
  <w:font w:name="Tahoma">
    <w:panose1 w:val="020B0604030504040204"/>
    <w:charset w:val="00"/>
    <w:family w:val="swiss"/>
    <w:pitch w:val="variable"/>
    <w:sig w:usb0="61002A87" w:usb1="80000000" w:usb2="00000008" w:usb3="00000000" w:csb0="000101FF" w:csb1="00000000"/>
    <w:embedRegular r:id="rId4" w:fontKey="{067E5CFB-3ED1-4A13-8ED4-0F494545BA6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F8F38857-6627-4897-9F05-3274B4023B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[85]</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494</Words>
  <Characters>2820</Characters>
  <Application>Microsoft Office Word</Application>
  <DocSecurity>0</DocSecurity>
  <Lines>23</Lines>
  <Paragraphs>6</Paragraphs>
  <ScaleCrop>false</ScaleCrop>
  <Company>Project Management</Company>
  <LinksUpToDate>false</LinksUpToDate>
  <CharactersWithSpaces>3308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2008-12-10T20:12:00Z</dcterms:created>
  <dcterms:modified xsi:type="dcterms:W3CDTF">2008-12-10T20:12:00Z</dcterms:modified>
</cp:coreProperties>
</file>