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3150, AS AMENDED, CODE OF LAWS OF SOUTH CAROLINA, 1976, RELATING TO ASSESSABLE TRANSFERS OF INTEREST FOR PURPOSES OF DETERMINING THE VALUE OF REAL PROPERTY FOR PROPERTY TAXATION, SO AS TO PROVIDE ADDITIONAL INSTANCES OF PROPERTY TRANSFERS NOT CONSIDERED ASSESSABLE TRANSFERS OF INTEREST, INCLUDING TRANSFERS OF FRACTIONAL INTERESTS CONSTITUTING NOT MORE THAN FIFTY PERCENT OF FEE SIMPLE TITLE, TRANSFERS INTO AND OUT OF A SINGLE MEMBER LIMITED LIABILITY COMPANY NOT TAXED AS A CORPORATION WHEN THE SINGLE MEMBER IS THE TRANSFEREE AND TRANSFEROR, TRANSFERS RELATING TO EASEMENTS, TRANSFERS TO QUIET TITLE OR ESTABLISH A BOUNDARY LINE, AND TRANSFERS CREATING OR TERMINATING A JOINT TENANCY WITH RIGHTS OF SURVIVORSHIP IF THE GRANTORS AND GRANTEES ARE THE SAME.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Items (8) and (9) of Section 12</w:t>
      </w:r>
      <w:r>
        <w:noBreakHyphen/>
        <w:t>37</w:t>
      </w:r>
      <w:r>
        <w:noBreakHyphen/>
        <w:t>3150(B) of the 1976 Code, as last amended by Act 57 of 2007, are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“(8)</w:t>
      </w:r>
      <w:r>
        <w:tab/>
      </w:r>
      <w:r>
        <w:rPr>
          <w:szCs w:val="24"/>
        </w:rPr>
        <w:t xml:space="preserve">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w:t>
      </w:r>
      <w:r>
        <w:rPr>
          <w:szCs w:val="24"/>
        </w:rPr>
        <w:lastRenderedPageBreak/>
        <w:t>shall furnish proof within forty</w:t>
      </w:r>
      <w:r>
        <w:rPr>
          <w:szCs w:val="24"/>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Pr>
          <w:szCs w:val="24"/>
        </w:rPr>
        <w:noBreakHyphen/>
        <w:t>37</w:t>
      </w:r>
      <w:r>
        <w:rPr>
          <w:szCs w:val="24"/>
        </w:rPr>
        <w:noBreakHyphen/>
        <w:t xml:space="preserve">3160(B);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(9)</w:t>
      </w:r>
      <w:r>
        <w:rPr>
          <w:szCs w:val="24"/>
        </w:rPr>
        <w:tab/>
        <w:t>a transfer of an interest in a timeshare unit by deed or lease</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(10)</w:t>
      </w:r>
      <w:r>
        <w:rPr>
          <w:szCs w:val="24"/>
        </w:rPr>
        <w:tab/>
      </w:r>
      <w:r>
        <w:rPr>
          <w:szCs w:val="24"/>
          <w:u w:val="single"/>
        </w:rPr>
        <w:t>a transfer of an undivided, fractional ownership interest in real estate in a single transaction or as a part of a series of related transactions, if the ownership interest or interest conveyed, or otherwise transferred, in the single transaction or series of related transactions within a twenty</w:t>
      </w:r>
      <w:r>
        <w:rPr>
          <w:szCs w:val="24"/>
          <w:u w:val="single"/>
        </w:rPr>
        <w:noBreakHyphen/>
        <w:t>five year period, is not more than fifty percent of the entire fee simple title to the real estate;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szCs w:val="24"/>
        </w:rPr>
        <w:tab/>
      </w:r>
      <w:r>
        <w:rPr>
          <w:szCs w:val="24"/>
          <w:u w:val="single"/>
        </w:rPr>
        <w:t>(11)</w:t>
      </w:r>
      <w:r>
        <w:rPr>
          <w:szCs w:val="24"/>
        </w:rPr>
        <w:tab/>
      </w:r>
      <w:r>
        <w:rPr>
          <w:szCs w:val="24"/>
          <w:u w:val="single"/>
        </w:rPr>
        <w:t>a</w:t>
      </w:r>
      <w:r>
        <w:rPr>
          <w:rFonts w:eastAsiaTheme="minorHAnsi" w:cstheme="minorBidi"/>
          <w:szCs w:val="22"/>
          <w:u w:val="single"/>
        </w:rPr>
        <w:t xml:space="preserve"> transfer to a single member limited liability company, not taxed separately as a corporation, by its single member or a transfer from a single member limited liability company, not taxed separately as a corporation,  to its single member, as provided in Section 12</w:t>
      </w:r>
      <w:r>
        <w:rPr>
          <w:rFonts w:eastAsiaTheme="minorHAnsi"/>
          <w:szCs w:val="22"/>
          <w:u w:val="single"/>
        </w:rPr>
        <w:noBreakHyphen/>
      </w:r>
      <w:r>
        <w:rPr>
          <w:rFonts w:eastAsiaTheme="minorHAnsi" w:cstheme="minorBidi"/>
          <w:szCs w:val="22"/>
          <w:u w:val="single"/>
        </w:rPr>
        <w:t>2</w:t>
      </w:r>
      <w:r>
        <w:rPr>
          <w:rFonts w:eastAsiaTheme="minorHAnsi"/>
          <w:szCs w:val="22"/>
          <w:u w:val="single"/>
        </w:rPr>
        <w:noBreakHyphen/>
      </w:r>
      <w:r>
        <w:rPr>
          <w:rFonts w:eastAsiaTheme="minorHAnsi" w:cstheme="minorBidi"/>
          <w:szCs w:val="22"/>
          <w:u w:val="single"/>
        </w:rPr>
        <w:t>25 (B)(1);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(12)</w:t>
      </w:r>
      <w:r>
        <w:rPr>
          <w:rFonts w:eastAsiaTheme="minorHAnsi" w:cstheme="minorBidi"/>
          <w:szCs w:val="22"/>
        </w:rPr>
        <w:tab/>
      </w:r>
      <w:r>
        <w:rPr>
          <w:rFonts w:eastAsiaTheme="minorHAnsi" w:cstheme="minorBidi"/>
          <w:szCs w:val="22"/>
          <w:u w:val="single"/>
        </w:rPr>
        <w:t>a conveyance, assignment, release or modification of an easement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u w:val="single"/>
        </w:rPr>
        <w:t>(a)</w:t>
      </w:r>
      <w:r>
        <w:rPr>
          <w:rFonts w:eastAsiaTheme="minorHAnsi" w:cstheme="minorBidi"/>
          <w:szCs w:val="22"/>
        </w:rPr>
        <w:tab/>
      </w:r>
      <w:r>
        <w:rPr>
          <w:rFonts w:eastAsiaTheme="minorHAnsi" w:cstheme="minorBidi"/>
          <w:szCs w:val="22"/>
          <w:u w:val="single"/>
        </w:rPr>
        <w:t>a conservation easement, as defined in Chapter 8, Title 27;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u w:val="single"/>
        </w:rPr>
        <w:t>(b)</w:t>
      </w:r>
      <w:r>
        <w:rPr>
          <w:rFonts w:eastAsiaTheme="minorHAnsi" w:cstheme="minorBidi"/>
          <w:szCs w:val="22"/>
        </w:rPr>
        <w:tab/>
      </w:r>
      <w:r>
        <w:rPr>
          <w:rFonts w:eastAsiaTheme="minorHAnsi" w:cstheme="minorBidi"/>
          <w:szCs w:val="22"/>
          <w:u w:val="single"/>
        </w:rPr>
        <w:t>a utility easement;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u w:val="single"/>
        </w:rPr>
        <w:t>(</w:t>
      </w:r>
      <w:r>
        <w:rPr>
          <w:rFonts w:eastAsiaTheme="minorHAnsi" w:cstheme="minorBidi"/>
          <w:szCs w:val="22"/>
        </w:rPr>
        <w:softHyphen/>
      </w:r>
      <w:r>
        <w:rPr>
          <w:rFonts w:eastAsiaTheme="minorHAnsi" w:cstheme="minorBidi"/>
          <w:szCs w:val="22"/>
          <w:u w:val="single"/>
        </w:rPr>
        <w:t>c)</w:t>
      </w:r>
      <w:r>
        <w:rPr>
          <w:rFonts w:eastAsiaTheme="minorHAnsi" w:cstheme="minorBidi"/>
          <w:szCs w:val="22"/>
        </w:rPr>
        <w:tab/>
      </w:r>
      <w:r>
        <w:rPr>
          <w:rFonts w:eastAsiaTheme="minorHAnsi" w:cstheme="minorBidi"/>
          <w:szCs w:val="22"/>
          <w:u w:val="single"/>
        </w:rPr>
        <w:t>an easement for ingress, egress, and regress;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(13)</w:t>
      </w:r>
      <w:r>
        <w:rPr>
          <w:rFonts w:eastAsiaTheme="minorHAnsi" w:cstheme="minorBidi"/>
          <w:szCs w:val="22"/>
        </w:rPr>
        <w:tab/>
      </w:r>
      <w:r>
        <w:rPr>
          <w:rFonts w:eastAsiaTheme="minorHAnsi" w:cstheme="minorBidi"/>
          <w:szCs w:val="22"/>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zCs w:val="22"/>
          <w:u w:val="single"/>
        </w:rPr>
        <w:t>(14)</w:t>
      </w:r>
      <w:r>
        <w:rPr>
          <w:rFonts w:eastAsiaTheme="minorHAnsi" w:cstheme="minorBidi"/>
          <w:szCs w:val="22"/>
        </w:rPr>
        <w:tab/>
      </w:r>
      <w:r>
        <w:rPr>
          <w:rFonts w:eastAsiaTheme="minorHAnsi" w:cstheme="minorBidi"/>
          <w:szCs w:val="22"/>
          <w:u w:val="single"/>
        </w:rPr>
        <w:t>the execution or recording of a deed to real property for the purpose of creating or terminating a joint tenancy with rights of survivorship, if the grantors and grantees are the same</w:t>
      </w:r>
      <w:r>
        <w:rPr>
          <w:rFonts w:eastAsiaTheme="minorHAnsi" w:cstheme="minorBidi"/>
          <w:szCs w:val="22"/>
        </w:rPr>
        <w:t>.</w:t>
      </w:r>
      <w:r>
        <w:rPr>
          <w:szCs w:val="24"/>
        </w:rPr>
        <w:t>”</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with respect to transfers of interests in real property occurring after 2006.  Property tax assessors shall conform the values of parcels of real property as that value may have been adjusted to reflect the provisions of Section 12</w:t>
      </w:r>
      <w:r>
        <w:noBreakHyphen/>
        <w:t>37</w:t>
      </w:r>
      <w:r>
        <w:noBreakHyphen/>
        <w:t>3150 of the 1976 Code as amended by this act.  No refund is allowed on account of values adjusted as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0EB129-BF97-4607-BD6C-C28C8DF9EBBA}"/>
    <w:embedBold r:id="rId2" w:fontKey="{0DA3059F-24FB-4470-B003-0560081717F5}"/>
  </w:font>
  <w:font w:name="Calibri">
    <w:panose1 w:val="020F0502020204030204"/>
    <w:charset w:val="00"/>
    <w:family w:val="swiss"/>
    <w:pitch w:val="variable"/>
    <w:sig w:usb0="A00002EF" w:usb1="4000207B" w:usb2="00000000" w:usb3="00000000" w:csb0="0000009F" w:csb1="00000000"/>
    <w:embedRegular r:id="rId3" w:fontKey="{9E8DDEE9-072A-4D46-A67F-8CC4437CEF61}"/>
  </w:font>
  <w:font w:name="Cambria">
    <w:panose1 w:val="02040503050406030204"/>
    <w:charset w:val="00"/>
    <w:family w:val="roman"/>
    <w:pitch w:val="variable"/>
    <w:sig w:usb0="A00002EF" w:usb1="4000004B" w:usb2="00000000" w:usb3="00000000" w:csb0="0000009F" w:csb1="00000000"/>
    <w:embedRegular r:id="rId4" w:fontKey="{BCEE21A4-61AA-4089-9F41-EEACFA79CA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419HTC09"/>
    <w:docVar w:name="CoverBillType" w:val="b"/>
    <w:docVar w:name="docpath" w:val="L:\Council\bills\BBM\9419HTC09.DOCX"/>
    <w:docVar w:name="dvBillNumber" w:val="879"/>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554</Words>
  <Characters>3164</Characters>
  <Application>Microsoft Office Word</Application>
  <DocSecurity>0</DocSecurity>
  <Lines>26</Lines>
  <Paragraphs>7</Paragraphs>
  <ScaleCrop>false</ScaleCrop>
  <Company> </Company>
  <LinksUpToDate>false</LinksUpToDate>
  <CharactersWithSpaces>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2009-05-21T16:11:00Z</cp:lastPrinted>
  <dcterms:created xsi:type="dcterms:W3CDTF">2009-05-21T18:44:00Z</dcterms:created>
  <dcterms:modified xsi:type="dcterms:W3CDTF">2009-05-21T18:44:00Z</dcterms:modified>
</cp:coreProperties>
</file>