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7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160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90B58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2" w:name="titletop"/>
      <w:bookmarkEnd w:id="2"/>
      <w:r w:rsidRPr="001A52C4">
        <w:rPr>
          <w:color w:val="000000" w:themeColor="text1"/>
          <w:spacing w:val="-2"/>
          <w:u w:color="000000" w:themeColor="text1"/>
        </w:rPr>
        <w:t>TO AMEND THE CODE OF LAWS OF S</w:t>
      </w:r>
      <w:r>
        <w:rPr>
          <w:color w:val="000000" w:themeColor="text1"/>
          <w:spacing w:val="-2"/>
          <w:u w:color="000000" w:themeColor="text1"/>
        </w:rPr>
        <w:t xml:space="preserve">OUTH CAROLINA, 1976, BY ADDING </w:t>
      </w:r>
      <w:r w:rsidRPr="001A52C4">
        <w:rPr>
          <w:color w:val="000000" w:themeColor="text1"/>
          <w:spacing w:val="-2"/>
          <w:u w:color="000000" w:themeColor="text1"/>
        </w:rPr>
        <w:t>SECTION 1</w:t>
      </w:r>
      <w:r w:rsidRPr="001A52C4">
        <w:rPr>
          <w:color w:val="000000" w:themeColor="text1"/>
          <w:spacing w:val="-2"/>
          <w:u w:color="000000" w:themeColor="text1"/>
        </w:rPr>
        <w:noBreakHyphen/>
        <w:t>3</w:t>
      </w:r>
      <w:r w:rsidRPr="001A52C4">
        <w:rPr>
          <w:color w:val="000000" w:themeColor="text1"/>
          <w:spacing w:val="-2"/>
          <w:u w:color="000000" w:themeColor="text1"/>
        </w:rPr>
        <w:noBreakHyphen/>
        <w:t>630, SO AS TO DEFINE “EMERGENCY,” “FULL AUTHORITY,” AND “TEMPORARY ABSENCE” IN ORDER TO CLARIFY WHEN A LIEUTENANT GOVERNOR HAS THE FULL AUTHORITY TO ACT IN AN EMERGENCY IN THE EVENT OF THE TEMPORARY ABSENCE OF THE GOVERNOR FROM THE STATE.</w:t>
      </w:r>
    </w:p>
    <w:p w:rsidR="006160CB" w:rsidRDefault="006160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0B58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59669B">
        <w:rPr>
          <w:color w:val="000000" w:themeColor="text1"/>
          <w:spacing w:val="-2"/>
          <w:u w:color="000000" w:themeColor="text1"/>
        </w:rPr>
        <w:t>Be it enacted by the General Assembly of the State of South Carolina: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D90B58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59669B">
        <w:rPr>
          <w:color w:val="000000" w:themeColor="text1"/>
          <w:spacing w:val="-2"/>
          <w:u w:color="000000" w:themeColor="text1"/>
        </w:rPr>
        <w:t>SECTION</w:t>
      </w:r>
      <w:r w:rsidRPr="0059669B">
        <w:rPr>
          <w:color w:val="000000" w:themeColor="text1"/>
          <w:spacing w:val="-2"/>
          <w:u w:color="000000" w:themeColor="text1"/>
        </w:rPr>
        <w:tab/>
        <w:t>1.</w:t>
      </w:r>
      <w:r w:rsidRPr="0059669B">
        <w:rPr>
          <w:color w:val="000000" w:themeColor="text1"/>
          <w:spacing w:val="-2"/>
          <w:u w:color="000000" w:themeColor="text1"/>
        </w:rPr>
        <w:tab/>
        <w:t>Chapter 3 of Title 1 of the 1976 Code is amended by adding: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“Section 1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noBreakHyphen/>
        <w:t>3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noBreakHyphen/>
        <w:t>630.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(A)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For purposes of this section: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(1)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‘Emergency’ means: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(a)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an </w:t>
      </w:r>
      <w:r w:rsidRPr="0059669B">
        <w:rPr>
          <w:color w:val="000000" w:themeColor="text1"/>
          <w:szCs w:val="24"/>
          <w:u w:color="000000" w:themeColor="text1"/>
        </w:rPr>
        <w:t>unlawful assemblage, violence or threats of violence, or a public health emergency, as defined in Section 44</w:t>
      </w:r>
      <w:r w:rsidRPr="0059669B">
        <w:rPr>
          <w:color w:val="000000" w:themeColor="text1"/>
          <w:szCs w:val="24"/>
          <w:u w:color="000000" w:themeColor="text1"/>
        </w:rPr>
        <w:noBreakHyphen/>
        <w:t>4</w:t>
      </w:r>
      <w:r w:rsidRPr="0059669B">
        <w:rPr>
          <w:color w:val="000000" w:themeColor="text1"/>
          <w:szCs w:val="24"/>
          <w:u w:color="000000" w:themeColor="text1"/>
        </w:rPr>
        <w:noBreakHyphen/>
        <w:t>130, that warrants a gubernatorial proclamation of emergency as provided in Section 1</w:t>
      </w:r>
      <w:r w:rsidRPr="0059669B">
        <w:rPr>
          <w:color w:val="000000" w:themeColor="text1"/>
          <w:szCs w:val="24"/>
          <w:u w:color="000000" w:themeColor="text1"/>
        </w:rPr>
        <w:noBreakHyphen/>
        <w:t>3</w:t>
      </w:r>
      <w:r w:rsidRPr="0059669B">
        <w:rPr>
          <w:color w:val="000000" w:themeColor="text1"/>
          <w:szCs w:val="24"/>
          <w:u w:color="000000" w:themeColor="text1"/>
        </w:rPr>
        <w:noBreakHyphen/>
        <w:t>420; or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  <w:t>(b)</w:t>
      </w:r>
      <w:r w:rsidRPr="0059669B">
        <w:rPr>
          <w:color w:val="000000" w:themeColor="text1"/>
          <w:szCs w:val="24"/>
          <w:u w:color="000000" w:themeColor="text1"/>
        </w:rPr>
        <w:tab/>
        <w:t>an attack, as defined in Section 1</w:t>
      </w:r>
      <w:r w:rsidRPr="0059669B">
        <w:rPr>
          <w:color w:val="000000" w:themeColor="text1"/>
          <w:szCs w:val="24"/>
          <w:u w:color="000000" w:themeColor="text1"/>
        </w:rPr>
        <w:noBreakHyphen/>
        <w:t>9</w:t>
      </w:r>
      <w:r w:rsidRPr="0059669B">
        <w:rPr>
          <w:color w:val="000000" w:themeColor="text1"/>
          <w:szCs w:val="24"/>
          <w:u w:color="000000" w:themeColor="text1"/>
        </w:rPr>
        <w:noBreakHyphen/>
        <w:t>20(d); or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  <w:t>(c)</w:t>
      </w: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a potentially destructive and life</w:t>
      </w:r>
      <w:r>
        <w:rPr>
          <w:rFonts w:eastAsia="Times New Roman"/>
          <w:color w:val="000000" w:themeColor="text1"/>
          <w:szCs w:val="24"/>
          <w:u w:color="000000" w:themeColor="text1"/>
        </w:rPr>
        <w:t>-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threatening</w:t>
      </w:r>
      <w:r w:rsidRPr="0059669B">
        <w:rPr>
          <w:rFonts w:eastAsia="Times New Roman"/>
          <w:color w:val="000000" w:themeColor="text1"/>
          <w:u w:color="000000" w:themeColor="text1"/>
        </w:rPr>
        <w:t xml:space="preserve"> 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major flood, storm, nuclear accident, or other natural or man</w:t>
      </w:r>
      <w:r>
        <w:rPr>
          <w:rFonts w:eastAsia="Times New Roman"/>
          <w:color w:val="000000" w:themeColor="text1"/>
          <w:szCs w:val="24"/>
          <w:u w:color="000000" w:themeColor="text1"/>
        </w:rPr>
        <w:t>-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made calamity affecting the health, welfare, and safety of the lives and property of the people </w:t>
      </w:r>
      <w:r w:rsidRPr="0059669B">
        <w:rPr>
          <w:color w:val="000000" w:themeColor="text1"/>
          <w:szCs w:val="24"/>
          <w:u w:color="000000" w:themeColor="text1"/>
        </w:rPr>
        <w:t>of the State; or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4"/>
          <w:u w:color="000000" w:themeColor="text1"/>
        </w:rPr>
      </w:pP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color w:val="000000" w:themeColor="text1"/>
          <w:szCs w:val="24"/>
          <w:u w:color="000000" w:themeColor="text1"/>
        </w:rPr>
        <w:tab/>
        <w:t>(d)</w:t>
      </w:r>
      <w:r w:rsidRPr="0059669B">
        <w:rPr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the necessary authority to conduct the affairs of the Office of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 that may be lost or abandoned during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temporary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absence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of a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including, but not limited to the: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  <w:t>(i)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  <w:t>veto power, and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  <w:t>(ii)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authority to execute documents concerning extradition of fugitives from justice, and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lastRenderedPageBreak/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(iii)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authority to execute documents and exercise duties essential to the administration of criminal justice.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(2)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‘Full authority’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means 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the ability to exercise the Governor’s powers, responsibilities, obligations, and authorities as provided by general law and in the State Constitution without assuming the office of the Governor.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(3)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‘Temporary absence’ means that: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(a)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the Governor is outside the boundaries of the state; and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within a twelve-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hour period, either by communicating in person or by telecommunications device, the Governor is not available or is unable to respond to: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(i)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his staff, or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(ii)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the South Carolina Law Enforcement Division or </w:t>
      </w:r>
      <w:r w:rsidR="00695C74">
        <w:rPr>
          <w:rFonts w:eastAsia="Times New Roman"/>
          <w:color w:val="000000" w:themeColor="text1"/>
          <w:szCs w:val="24"/>
          <w:u w:color="000000" w:themeColor="text1"/>
        </w:rPr>
        <w:t>any public officials or employees designated or assigned by the South Carolina Law Enforcement Division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to protect or provi</w:t>
      </w:r>
      <w:r w:rsidR="00695C74">
        <w:rPr>
          <w:rFonts w:eastAsia="Times New Roman"/>
          <w:color w:val="000000" w:themeColor="text1"/>
          <w:szCs w:val="24"/>
          <w:u w:color="000000" w:themeColor="text1"/>
        </w:rPr>
        <w:t>de security for the Governor.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(B)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As provided in Article IV, Section 11 of the South Carolina Constitution, </w:t>
      </w:r>
      <w:r w:rsidRPr="0059669B">
        <w:rPr>
          <w:color w:val="000000" w:themeColor="text1"/>
          <w:szCs w:val="24"/>
          <w:u w:color="000000" w:themeColor="text1"/>
        </w:rPr>
        <w:t>in the event of the temporary absence of the Governor from the State, the Lieutenant Governor has full authority to act in an emergency.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59669B">
        <w:rPr>
          <w:color w:val="000000" w:themeColor="text1"/>
          <w:szCs w:val="24"/>
          <w:u w:color="000000" w:themeColor="text1"/>
        </w:rPr>
        <w:tab/>
        <w:t>(C)</w:t>
      </w:r>
      <w:r w:rsidRPr="0059669B">
        <w:rPr>
          <w:color w:val="000000" w:themeColor="text1"/>
          <w:szCs w:val="24"/>
          <w:u w:color="000000" w:themeColor="text1"/>
        </w:rPr>
        <w:tab/>
        <w:t xml:space="preserve">Prior to assuming full authority to act in an emergency, the Lieutenant Governor must verify with the Governor’s staff and the 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South Carolina Law Enforcement Division </w:t>
      </w:r>
      <w:r w:rsidR="00695C74">
        <w:rPr>
          <w:rFonts w:eastAsia="Times New Roman"/>
          <w:color w:val="000000" w:themeColor="text1"/>
          <w:szCs w:val="24"/>
          <w:u w:color="000000" w:themeColor="text1"/>
        </w:rPr>
        <w:t xml:space="preserve">or any public officials or employees designated or assigned by the South Carolina Law Enforcement Division 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>to protect or provide security for the Governor that the Governor has not been in communication for a period of twelve or more hours and that attempts to contact the Governor have not received a response or indication of the Governor’s whereabouts or availability.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(D)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ab/>
        <w:t>After receiving this verification, th</w:t>
      </w:r>
      <w:r w:rsidRPr="0059669B">
        <w:rPr>
          <w:color w:val="000000" w:themeColor="text1"/>
          <w:u w:color="000000" w:themeColor="text1"/>
        </w:rPr>
        <w:t>e Lieutenant Governor must immediately file with the Office of the Secretary of State</w:t>
      </w:r>
      <w:r>
        <w:rPr>
          <w:color w:val="000000" w:themeColor="text1"/>
          <w:u w:color="000000" w:themeColor="text1"/>
        </w:rPr>
        <w:t xml:space="preserve"> </w:t>
      </w:r>
      <w:r w:rsidRPr="0059669B">
        <w:rPr>
          <w:color w:val="000000" w:themeColor="text1"/>
          <w:u w:color="000000" w:themeColor="text1"/>
        </w:rPr>
        <w:t>a proclamation declaring his full au</w:t>
      </w:r>
      <w:r>
        <w:rPr>
          <w:color w:val="000000" w:themeColor="text1"/>
          <w:u w:color="000000" w:themeColor="text1"/>
        </w:rPr>
        <w:t>thority to act in the emergency</w:t>
      </w:r>
      <w:r w:rsidRPr="0059669B">
        <w:rPr>
          <w:color w:val="000000" w:themeColor="text1"/>
          <w:u w:color="000000" w:themeColor="text1"/>
        </w:rPr>
        <w:t>.  The proclamation is effective upon issuance and remains in full force and effect as provided by general law and the State Constitution.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9669B">
        <w:rPr>
          <w:color w:val="000000" w:themeColor="text1"/>
          <w:u w:color="000000" w:themeColor="text1"/>
        </w:rPr>
        <w:tab/>
        <w:t>(E)</w:t>
      </w:r>
      <w:r w:rsidRPr="0059669B">
        <w:rPr>
          <w:color w:val="000000" w:themeColor="text1"/>
          <w:u w:color="000000" w:themeColor="text1"/>
        </w:rPr>
        <w:tab/>
        <w:t>T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he powers that the Lieutenant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may exercise pursuant to Article IV, Section 11 of the South Carolina Constitution and this section in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temporary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absence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of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cannot be restricted prior to the departure of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from this State.  The discretion of the Lieutenant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includes all of the gubernatorial powers which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himself would possess were he present, limited by the 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terms of the constitutional provision itself, which require only that those powers may be exercised by the Lieutenant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during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temporary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absence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of the </w:t>
      </w:r>
      <w:r w:rsidRPr="0059669B">
        <w:rPr>
          <w:rFonts w:eastAsia="Times New Roman"/>
          <w:bCs/>
          <w:color w:val="000000" w:themeColor="text1"/>
          <w:szCs w:val="24"/>
          <w:u w:color="000000" w:themeColor="text1"/>
        </w:rPr>
        <w:t>Governor</w:t>
      </w:r>
      <w:r w:rsidRPr="0059669B">
        <w:rPr>
          <w:rFonts w:eastAsia="Times New Roman"/>
          <w:color w:val="000000" w:themeColor="text1"/>
          <w:szCs w:val="24"/>
          <w:u w:color="000000" w:themeColor="text1"/>
        </w:rPr>
        <w:t xml:space="preserve"> and that those powers also must be of an emergency nature.</w:t>
      </w:r>
      <w:r w:rsidRPr="0059669B">
        <w:rPr>
          <w:color w:val="000000" w:themeColor="text1"/>
          <w:szCs w:val="24"/>
          <w:u w:color="000000" w:themeColor="text1"/>
        </w:rPr>
        <w:t>”</w:t>
      </w:r>
    </w:p>
    <w:p w:rsidR="00D90B58" w:rsidRPr="0059669B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0B58" w:rsidRPr="002C617F" w:rsidRDefault="00D90B58" w:rsidP="00D90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59669B">
        <w:rPr>
          <w:color w:val="000000" w:themeColor="text1"/>
          <w:spacing w:val="-2"/>
          <w:u w:color="000000" w:themeColor="text1"/>
        </w:rPr>
        <w:t>SECTION</w:t>
      </w:r>
      <w:r w:rsidRPr="0059669B">
        <w:rPr>
          <w:color w:val="000000" w:themeColor="text1"/>
          <w:spacing w:val="-2"/>
          <w:u w:color="000000" w:themeColor="text1"/>
        </w:rPr>
        <w:tab/>
        <w:t>2.</w:t>
      </w:r>
      <w:r w:rsidRPr="0059669B">
        <w:rPr>
          <w:color w:val="000000" w:themeColor="text1"/>
          <w:spacing w:val="-2"/>
          <w:u w:color="000000" w:themeColor="text1"/>
        </w:rPr>
        <w:tab/>
        <w:t>This act shall take effect</w:t>
      </w:r>
      <w:r w:rsidR="002C617F">
        <w:rPr>
          <w:color w:val="000000" w:themeColor="text1"/>
          <w:spacing w:val="-2"/>
          <w:u w:color="000000" w:themeColor="text1"/>
        </w:rPr>
        <w:t xml:space="preserve"> upon approval by the Governor.</w:t>
      </w:r>
    </w:p>
    <w:p w:rsidR="00087C8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87C88" w:rsidRDefault="00087C88" w:rsidP="00087C88">
      <w:pPr>
        <w:suppressAutoHyphens/>
        <w:jc w:val="both"/>
        <w:rPr>
          <w:rFonts w:eastAsia="Times New Roman"/>
        </w:rPr>
      </w:pPr>
    </w:p>
    <w:sectPr w:rsidR="00087C88" w:rsidSect="00087C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B58" w:rsidRDefault="00D90B58" w:rsidP="00522CE0">
      <w:r>
        <w:separator/>
      </w:r>
    </w:p>
  </w:endnote>
  <w:endnote w:type="continuationSeparator" w:id="0">
    <w:p w:rsidR="00D90B58" w:rsidRDefault="00D90B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DF8DD4-ED72-4474-A913-D2F8EB45EDC0}"/>
    <w:embedBold r:id="rId2" w:fontKey="{076058A5-6C83-4F92-97BC-5BA84263EA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DF9C31-9680-48B7-ADAE-FCE1FD3771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FAEE26-78A7-4C58-80DA-BDFED06934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FD5" w:rsidRPr="00087C88" w:rsidRDefault="00087C88" w:rsidP="00087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B58" w:rsidRDefault="00D90B58" w:rsidP="00522CE0">
      <w:r>
        <w:separator/>
      </w:r>
    </w:p>
  </w:footnote>
  <w:footnote w:type="continuationSeparator" w:id="0">
    <w:p w:rsidR="00D90B58" w:rsidRDefault="00D90B5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11.PB"/>
    <w:docVar w:name="CoverAttorneyInitials" w:val="PB"/>
    <w:docVar w:name="CoverAttorneyLastName" w:val="Benson"/>
    <w:docVar w:name="CoverBillType" w:val="b"/>
    <w:docVar w:name="DraftFileName" w:val="JUD0011.PB.DOCX"/>
    <w:docVar w:name="DraftStenoName" w:val="Craft"/>
    <w:docVar w:name="dvBillNumber" w:val="901"/>
    <w:docVar w:name="dvBillNumberPrefix" w:val="S. "/>
    <w:docVar w:name="dvOriginalBody" w:val="Senate"/>
    <w:docVar w:name="fulldraftpath" w:val="L:\S-JUD\BILLS\McConnell\JUD0011.PB.DOCX"/>
    <w:docVar w:name="NameofBody" w:val="S"/>
    <w:docVar w:name="SenatorFolderName" w:val="McConnell"/>
    <w:docVar w:name="VGROUP2" w:val="S-JUD"/>
  </w:docVars>
  <w:rsids>
    <w:rsidRoot w:val="008A20A1"/>
    <w:rsid w:val="000141EB"/>
    <w:rsid w:val="00042AC1"/>
    <w:rsid w:val="00046516"/>
    <w:rsid w:val="00087C88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C5896"/>
    <w:rsid w:val="002C617F"/>
    <w:rsid w:val="00307C2B"/>
    <w:rsid w:val="0031409E"/>
    <w:rsid w:val="00333DF1"/>
    <w:rsid w:val="0033541C"/>
    <w:rsid w:val="00364389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160CB"/>
    <w:rsid w:val="00641A16"/>
    <w:rsid w:val="006431BA"/>
    <w:rsid w:val="00695C74"/>
    <w:rsid w:val="006B4B3C"/>
    <w:rsid w:val="006C74EA"/>
    <w:rsid w:val="00720D40"/>
    <w:rsid w:val="007318D4"/>
    <w:rsid w:val="00746551"/>
    <w:rsid w:val="00765784"/>
    <w:rsid w:val="007920D9"/>
    <w:rsid w:val="007A4390"/>
    <w:rsid w:val="007C65B0"/>
    <w:rsid w:val="007C704B"/>
    <w:rsid w:val="007E3B8F"/>
    <w:rsid w:val="007E5CB7"/>
    <w:rsid w:val="008314D2"/>
    <w:rsid w:val="008804AE"/>
    <w:rsid w:val="008A20A1"/>
    <w:rsid w:val="008B2F42"/>
    <w:rsid w:val="008B765D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B7FD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5294F"/>
    <w:rsid w:val="00C6454A"/>
    <w:rsid w:val="00C74052"/>
    <w:rsid w:val="00CB187A"/>
    <w:rsid w:val="00CD7C71"/>
    <w:rsid w:val="00D1088B"/>
    <w:rsid w:val="00D156D2"/>
    <w:rsid w:val="00D65E0A"/>
    <w:rsid w:val="00D77EC0"/>
    <w:rsid w:val="00D86943"/>
    <w:rsid w:val="00D90B58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D2528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PMGroupNSC</cp:lastModifiedBy>
  <cp:revision>2</cp:revision>
  <cp:lastPrinted>2009-12-01T18:32:00Z</cp:lastPrinted>
  <dcterms:created xsi:type="dcterms:W3CDTF">2009-12-09T19:46:00Z</dcterms:created>
  <dcterms:modified xsi:type="dcterms:W3CDTF">2009-12-09T19:46:00Z</dcterms:modified>
</cp:coreProperties>
</file>