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2010</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D6B" w:rsidRPr="00974D6B" w:rsidRDefault="00974D6B" w:rsidP="00974D6B">
      <w:pPr>
        <w:tabs>
          <w:tab w:val="right" w:pos="5933"/>
        </w:tabs>
        <w:suppressAutoHyphens/>
        <w:jc w:val="both"/>
        <w:rPr>
          <w:rFonts w:eastAsia="Times New Roman"/>
        </w:rPr>
      </w:pPr>
      <w:r>
        <w:rPr>
          <w:rFonts w:eastAsia="Times New Roman"/>
        </w:rPr>
        <w:tab/>
      </w:r>
      <w:r>
        <w:rPr>
          <w:rFonts w:eastAsia="Times New Roman"/>
          <w:b/>
          <w:sz w:val="36"/>
        </w:rPr>
        <w:t>S. 901</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D6B"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4981">
        <w:t>Senators McConnell, Elliott and Courson</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5/20/10--H.</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2010.</w:t>
      </w:r>
    </w:p>
    <w:p w:rsidR="00974D6B" w:rsidRPr="00974D6B"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3020" w:rsidSect="00CB03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160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bookmarkStart w:id="2" w:name="titletop"/>
      <w:bookmarkEnd w:id="2"/>
      <w:r w:rsidRPr="002B2792">
        <w:rPr>
          <w:color w:val="000000" w:themeColor="text1"/>
          <w:spacing w:val="-2"/>
          <w:u w:color="000000" w:themeColor="text1"/>
        </w:rPr>
        <w:t xml:space="preserve">TO AMEND THE CODE OF LAWS OF SOUTH CAROLINA, 1976, BY ADDING </w:t>
      </w:r>
      <w:r>
        <w:rPr>
          <w:color w:val="000000" w:themeColor="text1"/>
          <w:spacing w:val="-2"/>
          <w:u w:color="000000" w:themeColor="text1"/>
        </w:rPr>
        <w:t>SECTION 1-3-500, SO AS TO PROVIDE THAT WHEN THE GOVERNOR LEAVES THE STATE</w:t>
      </w:r>
      <w:r w:rsidR="00251098">
        <w:rPr>
          <w:color w:val="000000" w:themeColor="text1"/>
          <w:spacing w:val="-2"/>
          <w:u w:color="000000" w:themeColor="text1"/>
        </w:rPr>
        <w:t>,</w:t>
      </w:r>
      <w:r>
        <w:rPr>
          <w:color w:val="000000" w:themeColor="text1"/>
          <w:spacing w:val="-2"/>
          <w:u w:color="000000" w:themeColor="text1"/>
        </w:rPr>
        <w:t xml:space="preserve"> HE MUST NOTIFY THE LIEUTENANT GOVERNOR, WHETHER OR NOT THE POWER OF THE GOVERNOR’S OFFICE IS TRANSFERRED TO THE LIEUTENANT GOVERNOR; AND BY ADDING </w:t>
      </w:r>
      <w:r w:rsidRPr="002B2792">
        <w:rPr>
          <w:color w:val="000000" w:themeColor="text1"/>
          <w:spacing w:val="-2"/>
          <w:u w:color="000000" w:themeColor="text1"/>
        </w:rPr>
        <w:t>SECTION 1</w:t>
      </w:r>
      <w:r w:rsidRPr="002B2792">
        <w:rPr>
          <w:color w:val="000000" w:themeColor="text1"/>
          <w:spacing w:val="-2"/>
          <w:u w:color="000000" w:themeColor="text1"/>
        </w:rPr>
        <w:noBreakHyphen/>
        <w:t>3</w:t>
      </w:r>
      <w:r w:rsidRPr="002B2792">
        <w:rPr>
          <w:color w:val="000000" w:themeColor="text1"/>
          <w:spacing w:val="-2"/>
          <w:u w:color="000000" w:themeColor="text1"/>
        </w:rPr>
        <w:noBreakHyphen/>
        <w:t>630, SO AS TO DEFINE “E</w:t>
      </w:r>
      <w:r w:rsidR="00251098">
        <w:rPr>
          <w:color w:val="000000" w:themeColor="text1"/>
          <w:spacing w:val="-2"/>
          <w:u w:color="000000" w:themeColor="text1"/>
        </w:rPr>
        <w:t>MERGENCY</w:t>
      </w:r>
      <w:r w:rsidRPr="002B2792">
        <w:rPr>
          <w:color w:val="000000" w:themeColor="text1"/>
          <w:spacing w:val="-2"/>
          <w:u w:color="000000" w:themeColor="text1"/>
        </w:rPr>
        <w:t>”</w:t>
      </w:r>
      <w:r w:rsidR="00251098">
        <w:rPr>
          <w:color w:val="000000" w:themeColor="text1"/>
          <w:spacing w:val="-2"/>
          <w:u w:color="000000" w:themeColor="text1"/>
        </w:rPr>
        <w:t>,  “FULL AUTHORITY</w:t>
      </w:r>
      <w:r w:rsidRPr="002B2792">
        <w:rPr>
          <w:color w:val="000000" w:themeColor="text1"/>
          <w:spacing w:val="-2"/>
          <w:u w:color="000000" w:themeColor="text1"/>
        </w:rPr>
        <w:t>”</w:t>
      </w:r>
      <w:r w:rsidR="00251098">
        <w:rPr>
          <w:color w:val="000000" w:themeColor="text1"/>
          <w:spacing w:val="-2"/>
          <w:u w:color="000000" w:themeColor="text1"/>
        </w:rPr>
        <w:t xml:space="preserve">, </w:t>
      </w:r>
      <w:r w:rsidRPr="002B2792">
        <w:rPr>
          <w:color w:val="000000" w:themeColor="text1"/>
          <w:spacing w:val="-2"/>
          <w:u w:color="000000" w:themeColor="text1"/>
        </w:rPr>
        <w:t xml:space="preserve"> AND “TEMPORARY ABSENCE” IN ORDER TO CLARIFY WHEN A LIEUTENANT GOVERNOR HAS THE FULL AUTHORITY TO ACT IN AN EMERGENCY IN THE EVENT OF THE TEMPORARY ABSENCE OF THE GOVERNOR FROM THE STATE.</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160CB" w:rsidRDefault="0061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B58"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59669B">
        <w:rPr>
          <w:color w:val="000000" w:themeColor="text1"/>
          <w:spacing w:val="-2"/>
          <w:u w:color="000000" w:themeColor="text1"/>
        </w:rPr>
        <w:t>Be it enacted by the General Assembly of the State of South Carolina:</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B2792">
        <w:rPr>
          <w:color w:val="000000" w:themeColor="text1"/>
          <w:spacing w:val="-2"/>
          <w:u w:color="000000" w:themeColor="text1"/>
        </w:rPr>
        <w:t>SECTION</w:t>
      </w:r>
      <w:r w:rsidRPr="002B2792">
        <w:rPr>
          <w:color w:val="000000" w:themeColor="text1"/>
          <w:spacing w:val="-2"/>
          <w:u w:color="000000" w:themeColor="text1"/>
        </w:rPr>
        <w:tab/>
        <w:t>1.</w:t>
      </w:r>
      <w:r w:rsidRPr="002B2792">
        <w:rPr>
          <w:color w:val="000000" w:themeColor="text1"/>
          <w:spacing w:val="-2"/>
          <w:u w:color="000000" w:themeColor="text1"/>
        </w:rPr>
        <w:tab/>
      </w:r>
      <w:r w:rsidRPr="0039499A">
        <w:rPr>
          <w:rFonts w:eastAsia="Times New Roman"/>
          <w:snapToGrid w:val="0"/>
          <w:szCs w:val="20"/>
        </w:rPr>
        <w:t>The 1976 Code is amended by adding:</w:t>
      </w:r>
    </w:p>
    <w:p w:rsidR="00373FCD" w:rsidRPr="0039499A" w:rsidRDefault="00373FCD"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39499A">
        <w:rPr>
          <w:rFonts w:eastAsia="Times New Roman"/>
          <w:snapToGrid w:val="0"/>
          <w:szCs w:val="20"/>
        </w:rPr>
        <w:tab/>
        <w:t>“</w:t>
      </w:r>
      <w:r>
        <w:rPr>
          <w:rFonts w:eastAsia="Times New Roman"/>
          <w:snapToGrid w:val="0"/>
          <w:szCs w:val="20"/>
        </w:rPr>
        <w:t>Section</w:t>
      </w:r>
      <w:r>
        <w:rPr>
          <w:rFonts w:eastAsia="Times New Roman"/>
          <w:snapToGrid w:val="0"/>
          <w:szCs w:val="20"/>
        </w:rPr>
        <w:tab/>
      </w:r>
      <w:r w:rsidRPr="0039499A">
        <w:rPr>
          <w:rFonts w:eastAsia="Times New Roman"/>
          <w:snapToGrid w:val="0"/>
          <w:szCs w:val="20"/>
        </w:rPr>
        <w:t>1-3-500.</w:t>
      </w:r>
      <w:r w:rsidRPr="0039499A">
        <w:rPr>
          <w:rFonts w:eastAsia="Times New Roman"/>
          <w:snapToGrid w:val="0"/>
          <w:szCs w:val="20"/>
        </w:rPr>
        <w:tab/>
      </w:r>
      <w:r w:rsidRPr="0039499A">
        <w:rPr>
          <w:rFonts w:eastAsia="Times New Roman"/>
          <w:snapToGrid w:val="0"/>
          <w:szCs w:val="20"/>
        </w:rPr>
        <w:tab/>
      </w:r>
      <w:r w:rsidRPr="0039499A">
        <w:t>Whenever the Governor leaves the State, he must notify the Lieutenant Governor.  This section applies whether or not the power of the Governor’s office is transferred to the Lieutenant Governor.</w:t>
      </w:r>
      <w:r>
        <w:t>”</w:t>
      </w:r>
      <w:r w:rsidRPr="0039499A">
        <w:tab/>
      </w: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Pr>
          <w:color w:val="000000" w:themeColor="text1"/>
          <w:spacing w:val="-2"/>
          <w:u w:color="000000" w:themeColor="text1"/>
        </w:rPr>
        <w:t>SECTION</w:t>
      </w:r>
      <w:r>
        <w:rPr>
          <w:color w:val="000000" w:themeColor="text1"/>
          <w:spacing w:val="-2"/>
          <w:u w:color="000000" w:themeColor="text1"/>
        </w:rPr>
        <w:tab/>
        <w:t>2.</w:t>
      </w:r>
      <w:r>
        <w:rPr>
          <w:color w:val="000000" w:themeColor="text1"/>
          <w:spacing w:val="-2"/>
          <w:u w:color="000000" w:themeColor="text1"/>
        </w:rPr>
        <w:tab/>
        <w:t xml:space="preserve">Chapter 3, </w:t>
      </w:r>
      <w:r w:rsidRPr="002B2792">
        <w:rPr>
          <w:color w:val="000000" w:themeColor="text1"/>
          <w:spacing w:val="-2"/>
          <w:u w:color="000000" w:themeColor="text1"/>
        </w:rPr>
        <w:t>Title 1 of the 1976 Code is amended by adding:</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974D6B" w:rsidRPr="00E24D50" w:rsidRDefault="008B6139"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2B2792">
        <w:rPr>
          <w:rFonts w:eastAsia="Times New Roman"/>
          <w:color w:val="000000" w:themeColor="text1"/>
          <w:szCs w:val="24"/>
          <w:u w:color="000000" w:themeColor="text1"/>
        </w:rPr>
        <w:tab/>
      </w:r>
      <w:r w:rsidR="00974D6B" w:rsidRPr="00E24D50">
        <w:rPr>
          <w:rFonts w:eastAsia="Times New Roman"/>
          <w:szCs w:val="24"/>
          <w:u w:color="000000" w:themeColor="text1"/>
        </w:rPr>
        <w:t>“Section 1</w:t>
      </w:r>
      <w:r w:rsidR="00974D6B" w:rsidRPr="00E24D50">
        <w:rPr>
          <w:rFonts w:eastAsia="Times New Roman"/>
          <w:szCs w:val="24"/>
          <w:u w:color="000000" w:themeColor="text1"/>
        </w:rPr>
        <w:noBreakHyphen/>
        <w:t>3</w:t>
      </w:r>
      <w:r w:rsidR="00974D6B" w:rsidRPr="00E24D50">
        <w:rPr>
          <w:rFonts w:eastAsia="Times New Roman"/>
          <w:szCs w:val="24"/>
          <w:u w:color="000000" w:themeColor="text1"/>
        </w:rPr>
        <w:noBreakHyphen/>
        <w:t>630.</w:t>
      </w:r>
      <w:r w:rsidR="00974D6B" w:rsidRPr="00E24D50">
        <w:rPr>
          <w:rFonts w:eastAsia="Times New Roman"/>
          <w:szCs w:val="24"/>
          <w:u w:color="000000" w:themeColor="text1"/>
        </w:rPr>
        <w:tab/>
      </w:r>
      <w:r w:rsidR="00974D6B">
        <w:rPr>
          <w:rFonts w:eastAsia="Times New Roman"/>
          <w:szCs w:val="24"/>
          <w:u w:color="000000" w:themeColor="text1"/>
        </w:rPr>
        <w:t xml:space="preserve"> </w:t>
      </w:r>
      <w:r w:rsidR="00974D6B" w:rsidRPr="00E24D50">
        <w:rPr>
          <w:rFonts w:eastAsia="Times New Roman"/>
          <w:szCs w:val="24"/>
          <w:u w:color="000000" w:themeColor="text1"/>
        </w:rPr>
        <w:t>(A)</w:t>
      </w:r>
      <w:r w:rsidR="00974D6B" w:rsidRPr="00E24D50">
        <w:rPr>
          <w:rFonts w:eastAsia="Times New Roman"/>
          <w:szCs w:val="24"/>
          <w:u w:color="000000" w:themeColor="text1"/>
        </w:rPr>
        <w:tab/>
        <w:t>For purposes of this section:</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rFonts w:eastAsia="Times New Roman"/>
          <w:szCs w:val="24"/>
          <w:u w:color="000000" w:themeColor="text1"/>
        </w:rPr>
        <w:tab/>
      </w:r>
      <w:r w:rsidRPr="00E24D50">
        <w:rPr>
          <w:rFonts w:eastAsia="Times New Roman"/>
          <w:szCs w:val="24"/>
          <w:u w:color="000000" w:themeColor="text1"/>
        </w:rPr>
        <w:tab/>
        <w:t>(1)</w:t>
      </w:r>
      <w:r w:rsidRPr="00E24D50">
        <w:rPr>
          <w:rFonts w:eastAsia="Times New Roman"/>
          <w:szCs w:val="24"/>
          <w:u w:color="000000" w:themeColor="text1"/>
        </w:rPr>
        <w:tab/>
        <w:t>‘Emergency’ means:</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E24D50">
        <w:rPr>
          <w:rFonts w:eastAsia="Times New Roman"/>
          <w:szCs w:val="24"/>
          <w:u w:color="000000" w:themeColor="text1"/>
        </w:rPr>
        <w:tab/>
      </w:r>
      <w:r w:rsidRPr="00E24D50">
        <w:rPr>
          <w:rFonts w:eastAsia="Times New Roman"/>
          <w:szCs w:val="24"/>
          <w:u w:color="000000" w:themeColor="text1"/>
        </w:rPr>
        <w:tab/>
      </w:r>
      <w:r w:rsidRPr="00E24D50">
        <w:rPr>
          <w:rFonts w:eastAsia="Times New Roman"/>
          <w:szCs w:val="24"/>
          <w:u w:color="000000" w:themeColor="text1"/>
        </w:rPr>
        <w:tab/>
        <w:t>(a)</w:t>
      </w:r>
      <w:r w:rsidRPr="00E24D50">
        <w:rPr>
          <w:rFonts w:eastAsia="Times New Roman"/>
          <w:szCs w:val="24"/>
          <w:u w:color="000000" w:themeColor="text1"/>
        </w:rPr>
        <w:tab/>
        <w:t xml:space="preserve">an </w:t>
      </w:r>
      <w:r w:rsidRPr="00E24D50">
        <w:rPr>
          <w:szCs w:val="24"/>
          <w:u w:color="000000" w:themeColor="text1"/>
        </w:rPr>
        <w:t xml:space="preserve">unlawful assemblage, violence or threats of violence, or a public health emergency, as defined in Section </w:t>
      </w:r>
      <w:r w:rsidRPr="00E24D50">
        <w:rPr>
          <w:szCs w:val="24"/>
          <w:u w:color="000000" w:themeColor="text1"/>
        </w:rPr>
        <w:lastRenderedPageBreak/>
        <w:t>44</w:t>
      </w:r>
      <w:r w:rsidRPr="00E24D50">
        <w:rPr>
          <w:szCs w:val="24"/>
          <w:u w:color="000000" w:themeColor="text1"/>
        </w:rPr>
        <w:noBreakHyphen/>
        <w:t>4</w:t>
      </w:r>
      <w:r w:rsidRPr="00E24D50">
        <w:rPr>
          <w:szCs w:val="24"/>
          <w:u w:color="000000" w:themeColor="text1"/>
        </w:rPr>
        <w:noBreakHyphen/>
        <w:t>130, that warrants a gubernatorial proclamation of emergency as provided in Section 1</w:t>
      </w:r>
      <w:r w:rsidRPr="00E24D50">
        <w:rPr>
          <w:szCs w:val="24"/>
          <w:u w:color="000000" w:themeColor="text1"/>
        </w:rPr>
        <w:noBreakHyphen/>
        <w:t>3</w:t>
      </w:r>
      <w:r w:rsidRPr="00E24D50">
        <w:rPr>
          <w:szCs w:val="24"/>
          <w:u w:color="000000" w:themeColor="text1"/>
        </w:rPr>
        <w:noBreakHyphen/>
        <w:t>420; or</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E24D50">
        <w:rPr>
          <w:szCs w:val="24"/>
          <w:u w:color="000000" w:themeColor="text1"/>
        </w:rPr>
        <w:tab/>
      </w:r>
      <w:r w:rsidRPr="00E24D50">
        <w:rPr>
          <w:szCs w:val="24"/>
          <w:u w:color="000000" w:themeColor="text1"/>
        </w:rPr>
        <w:tab/>
      </w:r>
      <w:r w:rsidRPr="00E24D50">
        <w:rPr>
          <w:szCs w:val="24"/>
          <w:u w:color="000000" w:themeColor="text1"/>
        </w:rPr>
        <w:tab/>
        <w:t>(b)</w:t>
      </w:r>
      <w:r w:rsidRPr="00E24D50">
        <w:rPr>
          <w:szCs w:val="24"/>
          <w:u w:color="000000" w:themeColor="text1"/>
        </w:rPr>
        <w:tab/>
        <w:t>an attack, as defined in Section 1</w:t>
      </w:r>
      <w:r w:rsidRPr="00E24D50">
        <w:rPr>
          <w:szCs w:val="24"/>
          <w:u w:color="000000" w:themeColor="text1"/>
        </w:rPr>
        <w:noBreakHyphen/>
        <w:t>9</w:t>
      </w:r>
      <w:r w:rsidRPr="00E24D50">
        <w:rPr>
          <w:szCs w:val="24"/>
          <w:u w:color="000000" w:themeColor="text1"/>
        </w:rPr>
        <w:noBreakHyphen/>
        <w:t>20(d); or</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szCs w:val="24"/>
          <w:u w:color="000000" w:themeColor="text1"/>
        </w:rPr>
        <w:tab/>
      </w:r>
      <w:r w:rsidRPr="00E24D50">
        <w:rPr>
          <w:szCs w:val="24"/>
          <w:u w:color="000000" w:themeColor="text1"/>
        </w:rPr>
        <w:tab/>
      </w:r>
      <w:r w:rsidRPr="00E24D50">
        <w:rPr>
          <w:szCs w:val="24"/>
          <w:u w:color="000000" w:themeColor="text1"/>
        </w:rPr>
        <w:tab/>
        <w:t>(c)</w:t>
      </w:r>
      <w:r w:rsidRPr="00E24D50">
        <w:rPr>
          <w:szCs w:val="24"/>
          <w:u w:color="000000" w:themeColor="text1"/>
        </w:rPr>
        <w:tab/>
      </w:r>
      <w:r w:rsidRPr="00E24D50">
        <w:rPr>
          <w:rFonts w:eastAsia="Times New Roman"/>
          <w:szCs w:val="24"/>
          <w:u w:color="000000" w:themeColor="text1"/>
        </w:rPr>
        <w:t>a potentially destructive and life-threatening</w:t>
      </w:r>
      <w:r w:rsidRPr="00E24D50">
        <w:rPr>
          <w:rFonts w:eastAsia="Times New Roman"/>
          <w:u w:color="000000" w:themeColor="text1"/>
        </w:rPr>
        <w:t xml:space="preserve"> </w:t>
      </w:r>
      <w:r w:rsidRPr="00E24D50">
        <w:rPr>
          <w:rFonts w:eastAsia="Times New Roman"/>
          <w:szCs w:val="24"/>
          <w:u w:color="000000" w:themeColor="text1"/>
        </w:rPr>
        <w:t xml:space="preserve">major flood, storm, nuclear accident, or other natural or man-made calamity affecting the health, welfare, and safety of the lives and property of the people </w:t>
      </w:r>
      <w:r w:rsidRPr="00E24D50">
        <w:rPr>
          <w:szCs w:val="24"/>
          <w:u w:color="000000" w:themeColor="text1"/>
        </w:rPr>
        <w:t>of the State;</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rFonts w:eastAsia="Times New Roman"/>
          <w:szCs w:val="24"/>
          <w:u w:color="000000" w:themeColor="text1"/>
        </w:rPr>
        <w:tab/>
      </w:r>
      <w:r w:rsidRPr="00E24D50">
        <w:rPr>
          <w:rFonts w:eastAsia="Times New Roman"/>
          <w:szCs w:val="24"/>
          <w:u w:color="000000" w:themeColor="text1"/>
        </w:rPr>
        <w:tab/>
        <w:t>(2)</w:t>
      </w:r>
      <w:r w:rsidRPr="00E24D50">
        <w:rPr>
          <w:rFonts w:eastAsia="Times New Roman"/>
          <w:szCs w:val="24"/>
          <w:u w:color="000000" w:themeColor="text1"/>
        </w:rPr>
        <w:tab/>
        <w:t>‘Full authority’ means the ability to exercise the Governor’s powers, responsibilities, obligations, and authorities in regard to the emergency, except veto power, as provided by general law and in the State Constitution without assuming the office of the Governor.</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rFonts w:eastAsia="Times New Roman"/>
          <w:szCs w:val="24"/>
          <w:u w:color="000000" w:themeColor="text1"/>
        </w:rPr>
        <w:tab/>
      </w:r>
      <w:r w:rsidRPr="00E24D50">
        <w:rPr>
          <w:rFonts w:eastAsia="Times New Roman"/>
          <w:szCs w:val="24"/>
          <w:u w:color="000000" w:themeColor="text1"/>
        </w:rPr>
        <w:tab/>
        <w:t>(3)</w:t>
      </w:r>
      <w:r w:rsidRPr="00E24D50">
        <w:rPr>
          <w:rFonts w:eastAsia="Times New Roman"/>
          <w:szCs w:val="24"/>
          <w:u w:color="000000" w:themeColor="text1"/>
        </w:rPr>
        <w:tab/>
        <w:t>‘Temporary absence’ means that:</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rFonts w:eastAsia="Times New Roman"/>
          <w:szCs w:val="24"/>
          <w:u w:color="000000" w:themeColor="text1"/>
        </w:rPr>
        <w:tab/>
      </w:r>
      <w:r w:rsidRPr="00E24D50">
        <w:rPr>
          <w:rFonts w:eastAsia="Times New Roman"/>
          <w:szCs w:val="24"/>
          <w:u w:color="000000" w:themeColor="text1"/>
        </w:rPr>
        <w:tab/>
      </w:r>
      <w:r w:rsidRPr="00E24D50">
        <w:rPr>
          <w:rFonts w:eastAsia="Times New Roman"/>
          <w:szCs w:val="24"/>
          <w:u w:color="000000" w:themeColor="text1"/>
        </w:rPr>
        <w:tab/>
        <w:t>(a)</w:t>
      </w:r>
      <w:r w:rsidRPr="00E24D50">
        <w:rPr>
          <w:rFonts w:eastAsia="Times New Roman"/>
          <w:szCs w:val="24"/>
          <w:u w:color="000000" w:themeColor="text1"/>
        </w:rPr>
        <w:tab/>
        <w:t>the Governor is outside the boundaries of the State; and</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rFonts w:eastAsia="Times New Roman"/>
          <w:szCs w:val="24"/>
          <w:u w:color="000000" w:themeColor="text1"/>
        </w:rPr>
        <w:tab/>
      </w:r>
      <w:r w:rsidRPr="00E24D50">
        <w:rPr>
          <w:rFonts w:eastAsia="Times New Roman"/>
          <w:szCs w:val="24"/>
          <w:u w:color="000000" w:themeColor="text1"/>
        </w:rPr>
        <w:tab/>
      </w:r>
      <w:r w:rsidRPr="00E24D50">
        <w:rPr>
          <w:rFonts w:eastAsia="Times New Roman"/>
          <w:szCs w:val="24"/>
          <w:u w:color="000000" w:themeColor="text1"/>
        </w:rPr>
        <w:tab/>
        <w:t>(b)</w:t>
      </w:r>
      <w:r w:rsidRPr="00E24D50">
        <w:rPr>
          <w:rFonts w:eastAsia="Times New Roman"/>
          <w:szCs w:val="24"/>
          <w:u w:color="000000" w:themeColor="text1"/>
        </w:rPr>
        <w:tab/>
        <w:t>within a twelve-hour period, either by communicating in person or by telecommunications device, the Governor is not available or is unable to respond to:</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rFonts w:eastAsia="Times New Roman"/>
          <w:szCs w:val="24"/>
          <w:u w:color="000000" w:themeColor="text1"/>
        </w:rPr>
        <w:tab/>
      </w:r>
      <w:r w:rsidRPr="00E24D50">
        <w:rPr>
          <w:rFonts w:eastAsia="Times New Roman"/>
          <w:szCs w:val="24"/>
          <w:u w:color="000000" w:themeColor="text1"/>
        </w:rPr>
        <w:tab/>
      </w:r>
      <w:r w:rsidRPr="00E24D50">
        <w:rPr>
          <w:rFonts w:eastAsia="Times New Roman"/>
          <w:szCs w:val="24"/>
          <w:u w:color="000000" w:themeColor="text1"/>
        </w:rPr>
        <w:tab/>
      </w:r>
      <w:r w:rsidRPr="00E24D50">
        <w:rPr>
          <w:rFonts w:eastAsia="Times New Roman"/>
          <w:szCs w:val="24"/>
          <w:u w:color="000000" w:themeColor="text1"/>
        </w:rPr>
        <w:tab/>
        <w:t>(i)</w:t>
      </w:r>
      <w:r w:rsidRPr="00E24D50">
        <w:rPr>
          <w:rFonts w:eastAsia="Times New Roman"/>
          <w:szCs w:val="24"/>
          <w:u w:color="000000" w:themeColor="text1"/>
        </w:rPr>
        <w:tab/>
      </w:r>
      <w:r w:rsidRPr="00E24D50">
        <w:rPr>
          <w:rFonts w:eastAsia="Times New Roman"/>
          <w:szCs w:val="24"/>
          <w:u w:color="000000" w:themeColor="text1"/>
        </w:rPr>
        <w:tab/>
        <w:t>his staff, or</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rFonts w:eastAsia="Times New Roman"/>
          <w:szCs w:val="24"/>
          <w:u w:color="000000" w:themeColor="text1"/>
        </w:rPr>
        <w:tab/>
      </w:r>
      <w:r w:rsidRPr="00E24D50">
        <w:rPr>
          <w:rFonts w:eastAsia="Times New Roman"/>
          <w:szCs w:val="24"/>
          <w:u w:color="000000" w:themeColor="text1"/>
        </w:rPr>
        <w:tab/>
      </w:r>
      <w:r w:rsidRPr="00E24D50">
        <w:rPr>
          <w:rFonts w:eastAsia="Times New Roman"/>
          <w:szCs w:val="24"/>
          <w:u w:color="000000" w:themeColor="text1"/>
        </w:rPr>
        <w:tab/>
      </w:r>
      <w:r w:rsidRPr="00E24D50">
        <w:rPr>
          <w:rFonts w:eastAsia="Times New Roman"/>
          <w:szCs w:val="24"/>
          <w:u w:color="000000" w:themeColor="text1"/>
        </w:rPr>
        <w:tab/>
        <w:t>(ii)</w:t>
      </w:r>
      <w:r w:rsidRPr="00E24D50">
        <w:rPr>
          <w:rFonts w:eastAsia="Times New Roman"/>
          <w:szCs w:val="24"/>
          <w:u w:color="000000" w:themeColor="text1"/>
        </w:rPr>
        <w:tab/>
        <w:t>the Director of the South Carolina Law Enforcement Division or his designee.</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rFonts w:eastAsia="Times New Roman"/>
          <w:szCs w:val="24"/>
          <w:u w:color="000000" w:themeColor="text1"/>
        </w:rPr>
        <w:tab/>
        <w:t>(B)</w:t>
      </w:r>
      <w:r w:rsidRPr="00E24D50">
        <w:rPr>
          <w:rFonts w:eastAsia="Times New Roman"/>
          <w:szCs w:val="24"/>
          <w:u w:color="000000" w:themeColor="text1"/>
        </w:rPr>
        <w:tab/>
        <w:t xml:space="preserve">As provided in Article IV, Section 11 of the South Carolina Constitution, </w:t>
      </w:r>
      <w:r w:rsidRPr="00E24D50">
        <w:rPr>
          <w:szCs w:val="24"/>
          <w:u w:color="000000" w:themeColor="text1"/>
        </w:rPr>
        <w:t xml:space="preserve">in the event of the temporary absence of the Governor from the State, the Lieutenant Governor has full authority to act in an emergency. For this purpose, the Lieutenant Governor is vested with </w:t>
      </w:r>
      <w:r w:rsidRPr="00E24D50">
        <w:rPr>
          <w:rFonts w:eastAsia="Times New Roman"/>
          <w:szCs w:val="24"/>
          <w:u w:color="000000" w:themeColor="text1"/>
        </w:rPr>
        <w:t xml:space="preserve">the necessary authority to conduct the affairs of the Office of the </w:t>
      </w:r>
      <w:r w:rsidRPr="00E24D50">
        <w:rPr>
          <w:rFonts w:eastAsia="Times New Roman"/>
          <w:bCs/>
          <w:szCs w:val="24"/>
          <w:u w:color="000000" w:themeColor="text1"/>
        </w:rPr>
        <w:t>Governor that are necessary in regard to the emergency that may be lost or abandoned during</w:t>
      </w:r>
      <w:r w:rsidRPr="00E24D50">
        <w:rPr>
          <w:rFonts w:eastAsia="Times New Roman"/>
          <w:szCs w:val="24"/>
          <w:u w:color="000000" w:themeColor="text1"/>
        </w:rPr>
        <w:t xml:space="preserve"> the </w:t>
      </w:r>
      <w:r w:rsidRPr="00E24D50">
        <w:rPr>
          <w:rFonts w:eastAsia="Times New Roman"/>
          <w:bCs/>
          <w:szCs w:val="24"/>
          <w:u w:color="000000" w:themeColor="text1"/>
        </w:rPr>
        <w:t>temporary</w:t>
      </w:r>
      <w:r w:rsidRPr="00E24D50">
        <w:rPr>
          <w:rFonts w:eastAsia="Times New Roman"/>
          <w:szCs w:val="24"/>
          <w:u w:color="000000" w:themeColor="text1"/>
        </w:rPr>
        <w:t xml:space="preserve"> </w:t>
      </w:r>
      <w:r w:rsidRPr="00E24D50">
        <w:rPr>
          <w:rFonts w:eastAsia="Times New Roman"/>
          <w:bCs/>
          <w:szCs w:val="24"/>
          <w:u w:color="000000" w:themeColor="text1"/>
        </w:rPr>
        <w:t>absence</w:t>
      </w:r>
      <w:r w:rsidRPr="00E24D50">
        <w:rPr>
          <w:rFonts w:eastAsia="Times New Roman"/>
          <w:szCs w:val="24"/>
          <w:u w:color="000000" w:themeColor="text1"/>
        </w:rPr>
        <w:t xml:space="preserve"> of the </w:t>
      </w:r>
      <w:r w:rsidRPr="00E24D50">
        <w:rPr>
          <w:rFonts w:eastAsia="Times New Roman"/>
          <w:bCs/>
          <w:szCs w:val="24"/>
          <w:u w:color="000000" w:themeColor="text1"/>
        </w:rPr>
        <w:t>Governor</w:t>
      </w:r>
      <w:r w:rsidRPr="00E24D50">
        <w:rPr>
          <w:rFonts w:eastAsia="Times New Roman"/>
          <w:szCs w:val="24"/>
          <w:u w:color="000000" w:themeColor="text1"/>
        </w:rPr>
        <w:t>.</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24D50">
        <w:rPr>
          <w:szCs w:val="24"/>
          <w:u w:color="000000" w:themeColor="text1"/>
        </w:rPr>
        <w:tab/>
        <w:t>(C)</w:t>
      </w:r>
      <w:r w:rsidRPr="00E24D50">
        <w:rPr>
          <w:szCs w:val="24"/>
          <w:u w:color="000000" w:themeColor="text1"/>
        </w:rPr>
        <w:tab/>
        <w:t xml:space="preserve">Prior to assuming full authority to act in an emergency, the Lieutenant Governor must verify with the Governor’s staff and the Director of the </w:t>
      </w:r>
      <w:r w:rsidRPr="00E24D50">
        <w:rPr>
          <w:rFonts w:eastAsia="Times New Roman"/>
          <w:szCs w:val="24"/>
          <w:u w:color="000000" w:themeColor="text1"/>
        </w:rPr>
        <w:t>South Carolina Law Enforcement Division or his designee that the Governor has not been in communication for a period of twelve or more hours and that attempts to contact the Governor have not received a response or indication of the Governor’s whereabouts or availability.</w:t>
      </w:r>
    </w:p>
    <w:p w:rsidR="00974D6B" w:rsidRPr="00E24D50"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D50">
        <w:rPr>
          <w:rFonts w:eastAsia="Times New Roman"/>
          <w:szCs w:val="24"/>
          <w:u w:color="000000" w:themeColor="text1"/>
        </w:rPr>
        <w:tab/>
        <w:t>(D)</w:t>
      </w:r>
      <w:r w:rsidRPr="00E24D50">
        <w:rPr>
          <w:rFonts w:eastAsia="Times New Roman"/>
          <w:szCs w:val="24"/>
          <w:u w:color="000000" w:themeColor="text1"/>
        </w:rPr>
        <w:tab/>
        <w:t>After receiving this verification, th</w:t>
      </w:r>
      <w:r w:rsidRPr="00E24D50">
        <w:rPr>
          <w:u w:color="000000" w:themeColor="text1"/>
        </w:rPr>
        <w:t>e Lieutenant Governor must immediately file with the Office of the Secretary of State a proclamation declaring his full authority to act in the emergency.  The proclamation is effective upon issuance and remains in full force and effect as provided by general law and the State Constitution.</w:t>
      </w:r>
    </w:p>
    <w:p w:rsidR="008B6139" w:rsidRPr="002B2792"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24D50">
        <w:rPr>
          <w:u w:color="000000" w:themeColor="text1"/>
        </w:rPr>
        <w:tab/>
        <w:t>(E)</w:t>
      </w:r>
      <w:r w:rsidRPr="00E24D50">
        <w:rPr>
          <w:u w:color="000000" w:themeColor="text1"/>
        </w:rPr>
        <w:tab/>
        <w:t>T</w:t>
      </w:r>
      <w:r w:rsidRPr="00E24D50">
        <w:rPr>
          <w:rFonts w:eastAsia="Times New Roman"/>
          <w:szCs w:val="24"/>
          <w:u w:color="000000" w:themeColor="text1"/>
        </w:rPr>
        <w:t xml:space="preserve">he powers that the Lieutenant </w:t>
      </w:r>
      <w:r w:rsidRPr="00E24D50">
        <w:rPr>
          <w:rFonts w:eastAsia="Times New Roman"/>
          <w:bCs/>
          <w:szCs w:val="24"/>
          <w:u w:color="000000" w:themeColor="text1"/>
        </w:rPr>
        <w:t>Governor</w:t>
      </w:r>
      <w:r w:rsidRPr="00E24D50">
        <w:rPr>
          <w:rFonts w:eastAsia="Times New Roman"/>
          <w:szCs w:val="24"/>
          <w:u w:color="000000" w:themeColor="text1"/>
        </w:rPr>
        <w:t xml:space="preserve"> may exercise pursuant to Article IV, Section 11 of the South Carolina Constitution and this section in regard to the emergency in the </w:t>
      </w:r>
      <w:r w:rsidRPr="00E24D50">
        <w:rPr>
          <w:rFonts w:eastAsia="Times New Roman"/>
          <w:bCs/>
          <w:szCs w:val="24"/>
          <w:u w:color="000000" w:themeColor="text1"/>
        </w:rPr>
        <w:t>temporary</w:t>
      </w:r>
      <w:r w:rsidRPr="00E24D50">
        <w:rPr>
          <w:rFonts w:eastAsia="Times New Roman"/>
          <w:szCs w:val="24"/>
          <w:u w:color="000000" w:themeColor="text1"/>
        </w:rPr>
        <w:t xml:space="preserve"> </w:t>
      </w:r>
      <w:r w:rsidRPr="00E24D50">
        <w:rPr>
          <w:rFonts w:eastAsia="Times New Roman"/>
          <w:bCs/>
          <w:szCs w:val="24"/>
          <w:u w:color="000000" w:themeColor="text1"/>
        </w:rPr>
        <w:t>absence</w:t>
      </w:r>
      <w:r w:rsidRPr="00E24D50">
        <w:rPr>
          <w:rFonts w:eastAsia="Times New Roman"/>
          <w:szCs w:val="24"/>
          <w:u w:color="000000" w:themeColor="text1"/>
        </w:rPr>
        <w:t xml:space="preserve"> of the </w:t>
      </w:r>
      <w:r w:rsidRPr="00E24D50">
        <w:rPr>
          <w:rFonts w:eastAsia="Times New Roman"/>
          <w:bCs/>
          <w:szCs w:val="24"/>
          <w:u w:color="000000" w:themeColor="text1"/>
        </w:rPr>
        <w:t>Governor</w:t>
      </w:r>
      <w:r w:rsidRPr="00E24D50">
        <w:rPr>
          <w:rFonts w:eastAsia="Times New Roman"/>
          <w:szCs w:val="24"/>
          <w:u w:color="000000" w:themeColor="text1"/>
        </w:rPr>
        <w:t xml:space="preserve"> cannot be restricted prior to the departure of the </w:t>
      </w:r>
      <w:r w:rsidRPr="00E24D50">
        <w:rPr>
          <w:rFonts w:eastAsia="Times New Roman"/>
          <w:bCs/>
          <w:szCs w:val="24"/>
          <w:u w:color="000000" w:themeColor="text1"/>
        </w:rPr>
        <w:t>Governor</w:t>
      </w:r>
      <w:r w:rsidRPr="00E24D50">
        <w:rPr>
          <w:rFonts w:eastAsia="Times New Roman"/>
          <w:szCs w:val="24"/>
          <w:u w:color="000000" w:themeColor="text1"/>
        </w:rPr>
        <w:t xml:space="preserve"> from this State.  The discretion of the Lieutenant </w:t>
      </w:r>
      <w:r w:rsidRPr="00E24D50">
        <w:rPr>
          <w:rFonts w:eastAsia="Times New Roman"/>
          <w:bCs/>
          <w:szCs w:val="24"/>
          <w:u w:color="000000" w:themeColor="text1"/>
        </w:rPr>
        <w:t>Governor</w:t>
      </w:r>
      <w:r w:rsidRPr="00E24D50">
        <w:rPr>
          <w:rFonts w:eastAsia="Times New Roman"/>
          <w:szCs w:val="24"/>
          <w:u w:color="000000" w:themeColor="text1"/>
        </w:rPr>
        <w:t xml:space="preserve"> includes all of the gubernatorial powers relating to the emergency which the </w:t>
      </w:r>
      <w:r w:rsidRPr="00E24D50">
        <w:rPr>
          <w:rFonts w:eastAsia="Times New Roman"/>
          <w:bCs/>
          <w:szCs w:val="24"/>
          <w:u w:color="000000" w:themeColor="text1"/>
        </w:rPr>
        <w:t>Governor</w:t>
      </w:r>
      <w:r w:rsidRPr="00E24D50">
        <w:rPr>
          <w:rFonts w:eastAsia="Times New Roman"/>
          <w:szCs w:val="24"/>
          <w:u w:color="000000" w:themeColor="text1"/>
        </w:rPr>
        <w:t xml:space="preserve"> himself would possess were he present, limited by the terms of the constitutional provision itself, which require only that those powers may be exercised by the Lieutenant </w:t>
      </w:r>
      <w:r w:rsidRPr="00E24D50">
        <w:rPr>
          <w:rFonts w:eastAsia="Times New Roman"/>
          <w:bCs/>
          <w:szCs w:val="24"/>
          <w:u w:color="000000" w:themeColor="text1"/>
        </w:rPr>
        <w:t>Governor</w:t>
      </w:r>
      <w:r w:rsidRPr="00E24D50">
        <w:rPr>
          <w:rFonts w:eastAsia="Times New Roman"/>
          <w:szCs w:val="24"/>
          <w:u w:color="000000" w:themeColor="text1"/>
        </w:rPr>
        <w:t xml:space="preserve"> during the </w:t>
      </w:r>
      <w:r w:rsidRPr="00E24D50">
        <w:rPr>
          <w:rFonts w:eastAsia="Times New Roman"/>
          <w:bCs/>
          <w:szCs w:val="24"/>
          <w:u w:color="000000" w:themeColor="text1"/>
        </w:rPr>
        <w:t>temporary</w:t>
      </w:r>
      <w:r w:rsidRPr="00E24D50">
        <w:rPr>
          <w:rFonts w:eastAsia="Times New Roman"/>
          <w:szCs w:val="24"/>
          <w:u w:color="000000" w:themeColor="text1"/>
        </w:rPr>
        <w:t xml:space="preserve"> </w:t>
      </w:r>
      <w:r w:rsidRPr="00E24D50">
        <w:rPr>
          <w:rFonts w:eastAsia="Times New Roman"/>
          <w:bCs/>
          <w:szCs w:val="24"/>
          <w:u w:color="000000" w:themeColor="text1"/>
        </w:rPr>
        <w:t>absence</w:t>
      </w:r>
      <w:r w:rsidRPr="00E24D50">
        <w:rPr>
          <w:rFonts w:eastAsia="Times New Roman"/>
          <w:szCs w:val="24"/>
          <w:u w:color="000000" w:themeColor="text1"/>
        </w:rPr>
        <w:t xml:space="preserve"> of the </w:t>
      </w:r>
      <w:r w:rsidRPr="00E24D50">
        <w:rPr>
          <w:rFonts w:eastAsia="Times New Roman"/>
          <w:bCs/>
          <w:szCs w:val="24"/>
          <w:u w:color="000000" w:themeColor="text1"/>
        </w:rPr>
        <w:t>Governor</w:t>
      </w:r>
      <w:r w:rsidRPr="00E24D50">
        <w:rPr>
          <w:rFonts w:eastAsia="Times New Roman"/>
          <w:szCs w:val="24"/>
          <w:u w:color="000000" w:themeColor="text1"/>
        </w:rPr>
        <w:t xml:space="preserve"> and that those powers also must be of an emergency nature.</w:t>
      </w:r>
      <w:r w:rsidRPr="00E24D50">
        <w:rPr>
          <w:szCs w:val="24"/>
          <w:u w:color="000000" w:themeColor="text1"/>
        </w:rPr>
        <w:t>”</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B58" w:rsidRPr="002C617F"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2B2792">
        <w:rPr>
          <w:color w:val="000000" w:themeColor="text1"/>
          <w:spacing w:val="-2"/>
          <w:u w:color="000000" w:themeColor="text1"/>
        </w:rPr>
        <w:t>SECTION</w:t>
      </w:r>
      <w:r w:rsidRPr="002B2792">
        <w:rPr>
          <w:color w:val="000000" w:themeColor="text1"/>
          <w:spacing w:val="-2"/>
          <w:u w:color="000000" w:themeColor="text1"/>
        </w:rPr>
        <w:tab/>
      </w:r>
      <w:r>
        <w:rPr>
          <w:color w:val="000000" w:themeColor="text1"/>
          <w:spacing w:val="-2"/>
          <w:u w:color="000000" w:themeColor="text1"/>
        </w:rPr>
        <w:t>3</w:t>
      </w:r>
      <w:r w:rsidRPr="002B2792">
        <w:rPr>
          <w:color w:val="000000" w:themeColor="text1"/>
          <w:spacing w:val="-2"/>
          <w:u w:color="000000" w:themeColor="text1"/>
        </w:rPr>
        <w:t>.</w:t>
      </w:r>
      <w:r>
        <w:rPr>
          <w:color w:val="000000" w:themeColor="text1"/>
          <w:spacing w:val="-2"/>
          <w:u w:color="000000" w:themeColor="text1"/>
        </w:rPr>
        <w:tab/>
      </w:r>
      <w:r w:rsidRPr="002B2792">
        <w:rPr>
          <w:color w:val="000000" w:themeColor="text1"/>
          <w:spacing w:val="-2"/>
          <w:u w:color="000000" w:themeColor="text1"/>
        </w:rPr>
        <w:t>This act shall take effect upon approval by the Governor.</w:t>
      </w:r>
    </w:p>
    <w:p w:rsidR="00087C8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7C88" w:rsidRDefault="00087C88" w:rsidP="00221513">
      <w:pPr>
        <w:suppressAutoHyphens/>
        <w:jc w:val="both"/>
        <w:rPr>
          <w:rFonts w:eastAsia="Times New Roman"/>
        </w:rPr>
      </w:pPr>
    </w:p>
    <w:sectPr w:rsidR="00087C88" w:rsidSect="00CB03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B58" w:rsidRDefault="00D90B58" w:rsidP="00522CE0">
      <w:r>
        <w:separator/>
      </w:r>
    </w:p>
  </w:endnote>
  <w:endnote w:type="continuationSeparator" w:id="0">
    <w:p w:rsidR="00D90B58" w:rsidRDefault="00D90B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EC0897-CA5A-4FC8-A581-1FB9A545747E}"/>
    <w:embedBold r:id="rId2" w:fontKey="{2E1C7297-7524-4917-AEFC-DDDA9073EA30}"/>
  </w:font>
  <w:font w:name="Calibri">
    <w:panose1 w:val="020F0502020204030204"/>
    <w:charset w:val="00"/>
    <w:family w:val="swiss"/>
    <w:pitch w:val="variable"/>
    <w:sig w:usb0="A00002EF" w:usb1="4000207B" w:usb2="00000000" w:usb3="00000000" w:csb0="0000009F" w:csb1="00000000"/>
    <w:embedRegular r:id="rId3" w:fontKey="{4EFAB8D0-3475-4994-83B6-28FA34B7EB57}"/>
  </w:font>
  <w:font w:name="Cambria">
    <w:panose1 w:val="02040503050406030204"/>
    <w:charset w:val="00"/>
    <w:family w:val="roman"/>
    <w:pitch w:val="variable"/>
    <w:sig w:usb0="A00002EF" w:usb1="4000004B" w:usb2="00000000" w:usb3="00000000" w:csb0="0000009F" w:csb1="00000000"/>
    <w:embedRegular r:id="rId4" w:fontKey="{DFFAEC8E-4970-472B-B40C-121844483C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FD5" w:rsidRPr="00087C88" w:rsidRDefault="00087C88" w:rsidP="00087C88">
    <w:pPr>
      <w:pStyle w:val="Footer"/>
      <w:tabs>
        <w:tab w:val="clear" w:pos="4680"/>
        <w:tab w:val="clear" w:pos="9360"/>
        <w:tab w:val="center" w:pos="2995"/>
      </w:tabs>
      <w:spacing w:before="120"/>
    </w:pPr>
    <w:r>
      <w:t>[901</w:t>
    </w:r>
    <w:r w:rsidR="00CB0309">
      <w:t>-</w:t>
    </w:r>
    <w:fldSimple w:instr=" PAGE  \* MERGEFORMAT ">
      <w:r w:rsidR="00221513">
        <w:rPr>
          <w:noProof/>
        </w:rPr>
        <w:t>1</w:t>
      </w:r>
    </w:fldSimple>
    <w:r w:rsidR="00CB03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09" w:rsidRPr="00087C88" w:rsidRDefault="00CB0309" w:rsidP="00087C88">
    <w:pPr>
      <w:pStyle w:val="Footer"/>
      <w:tabs>
        <w:tab w:val="clear" w:pos="4680"/>
        <w:tab w:val="clear" w:pos="9360"/>
        <w:tab w:val="center" w:pos="2995"/>
      </w:tabs>
      <w:spacing w:before="120"/>
    </w:pPr>
    <w:r>
      <w:t>[901]</w:t>
    </w:r>
    <w:r>
      <w:tab/>
    </w:r>
    <w:fldSimple w:instr=" PAGE  \* MERGEFORMAT ">
      <w:r w:rsidR="002215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B58" w:rsidRDefault="00D90B58" w:rsidP="00522CE0">
      <w:r>
        <w:separator/>
      </w:r>
    </w:p>
  </w:footnote>
  <w:footnote w:type="continuationSeparator" w:id="0">
    <w:p w:rsidR="00D90B58" w:rsidRDefault="00D90B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11.PB"/>
    <w:docVar w:name="CoverAttorneyInitials" w:val="PB"/>
    <w:docVar w:name="CoverAttorneyLastName" w:val="Benson"/>
    <w:docVar w:name="CoverBillType" w:val="b"/>
    <w:docVar w:name="DraftFileName" w:val="JUD0011.PB.DOCX"/>
    <w:docVar w:name="DraftStenoName" w:val="Craft"/>
    <w:docVar w:name="dvBillNumber" w:val="901"/>
    <w:docVar w:name="dvBillNumberPrefix" w:val="S. "/>
    <w:docVar w:name="dvOriginalBody" w:val="Senate"/>
    <w:docVar w:name="fulldraftpath" w:val="L:\S-JUD\BILLS\McConnell\JUD0011.PB.DOCX"/>
    <w:docVar w:name="NameofBody" w:val="S"/>
    <w:docVar w:name="SenatorFolderName" w:val="McConnell"/>
    <w:docVar w:name="VGROUP2" w:val="S-JUD"/>
  </w:docVars>
  <w:rsids>
    <w:rsidRoot w:val="008A20A1"/>
    <w:rsid w:val="000141EB"/>
    <w:rsid w:val="00042AC1"/>
    <w:rsid w:val="00046516"/>
    <w:rsid w:val="00087C88"/>
    <w:rsid w:val="000A4D08"/>
    <w:rsid w:val="000A6988"/>
    <w:rsid w:val="000B0720"/>
    <w:rsid w:val="000B5EAF"/>
    <w:rsid w:val="000E473B"/>
    <w:rsid w:val="000F002B"/>
    <w:rsid w:val="00107C3D"/>
    <w:rsid w:val="00126995"/>
    <w:rsid w:val="0016543B"/>
    <w:rsid w:val="00170561"/>
    <w:rsid w:val="00170ADC"/>
    <w:rsid w:val="00180AC7"/>
    <w:rsid w:val="00186AC9"/>
    <w:rsid w:val="00190F47"/>
    <w:rsid w:val="00197DF1"/>
    <w:rsid w:val="001B3DD9"/>
    <w:rsid w:val="001D3BAC"/>
    <w:rsid w:val="00206D3D"/>
    <w:rsid w:val="002139A8"/>
    <w:rsid w:val="00221513"/>
    <w:rsid w:val="0024519E"/>
    <w:rsid w:val="00245C4E"/>
    <w:rsid w:val="00251098"/>
    <w:rsid w:val="00270C56"/>
    <w:rsid w:val="00297113"/>
    <w:rsid w:val="002C5896"/>
    <w:rsid w:val="002C617F"/>
    <w:rsid w:val="002F4BFE"/>
    <w:rsid w:val="00307C2B"/>
    <w:rsid w:val="0031409E"/>
    <w:rsid w:val="00333DF1"/>
    <w:rsid w:val="0033541C"/>
    <w:rsid w:val="00364389"/>
    <w:rsid w:val="00373FCD"/>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160CB"/>
    <w:rsid w:val="00641A16"/>
    <w:rsid w:val="006431BA"/>
    <w:rsid w:val="00695C74"/>
    <w:rsid w:val="006B4B3C"/>
    <w:rsid w:val="006C74EA"/>
    <w:rsid w:val="00720D40"/>
    <w:rsid w:val="007318D4"/>
    <w:rsid w:val="00746551"/>
    <w:rsid w:val="00765784"/>
    <w:rsid w:val="007920D9"/>
    <w:rsid w:val="007A4390"/>
    <w:rsid w:val="007A6D62"/>
    <w:rsid w:val="007C65B0"/>
    <w:rsid w:val="007C704B"/>
    <w:rsid w:val="007E3B8F"/>
    <w:rsid w:val="007E5CB7"/>
    <w:rsid w:val="00806D91"/>
    <w:rsid w:val="008314D2"/>
    <w:rsid w:val="008804AE"/>
    <w:rsid w:val="008A20A1"/>
    <w:rsid w:val="008B0EC0"/>
    <w:rsid w:val="008B2F42"/>
    <w:rsid w:val="008B6139"/>
    <w:rsid w:val="008B765D"/>
    <w:rsid w:val="008E185F"/>
    <w:rsid w:val="008E5870"/>
    <w:rsid w:val="008F023B"/>
    <w:rsid w:val="008F7524"/>
    <w:rsid w:val="00904E16"/>
    <w:rsid w:val="00927C62"/>
    <w:rsid w:val="00931A96"/>
    <w:rsid w:val="00936030"/>
    <w:rsid w:val="00957CE8"/>
    <w:rsid w:val="00974D6B"/>
    <w:rsid w:val="00983951"/>
    <w:rsid w:val="00984124"/>
    <w:rsid w:val="00984640"/>
    <w:rsid w:val="00995C37"/>
    <w:rsid w:val="009C118A"/>
    <w:rsid w:val="00A02011"/>
    <w:rsid w:val="00A35165"/>
    <w:rsid w:val="00A4011E"/>
    <w:rsid w:val="00A86015"/>
    <w:rsid w:val="00AB7FD5"/>
    <w:rsid w:val="00AE59C8"/>
    <w:rsid w:val="00B030B6"/>
    <w:rsid w:val="00B10098"/>
    <w:rsid w:val="00B10E10"/>
    <w:rsid w:val="00B33F23"/>
    <w:rsid w:val="00B35389"/>
    <w:rsid w:val="00B450FF"/>
    <w:rsid w:val="00B945C5"/>
    <w:rsid w:val="00BA20EA"/>
    <w:rsid w:val="00BB41CD"/>
    <w:rsid w:val="00BC0A56"/>
    <w:rsid w:val="00C23348"/>
    <w:rsid w:val="00C5294F"/>
    <w:rsid w:val="00C6454A"/>
    <w:rsid w:val="00C74052"/>
    <w:rsid w:val="00CB0309"/>
    <w:rsid w:val="00CB187A"/>
    <w:rsid w:val="00CD3020"/>
    <w:rsid w:val="00CD7C71"/>
    <w:rsid w:val="00D1088B"/>
    <w:rsid w:val="00D156D2"/>
    <w:rsid w:val="00D65E0A"/>
    <w:rsid w:val="00D77EC0"/>
    <w:rsid w:val="00D86943"/>
    <w:rsid w:val="00D90B58"/>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2528"/>
    <w:rsid w:val="00FF13F9"/>
    <w:rsid w:val="00FF4D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80A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063FE-87CE-4D06-84F1-F3933B3F2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3666</Characters>
  <Application>Microsoft Office Word</Application>
  <DocSecurity>0</DocSecurity>
  <Lines>114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2010-01-28T17:46:00Z</cp:lastPrinted>
  <dcterms:created xsi:type="dcterms:W3CDTF">2010-05-20T22:15:00Z</dcterms:created>
  <dcterms:modified xsi:type="dcterms:W3CDTF">2010-05-20T22:15:00Z</dcterms:modified>
</cp:coreProperties>
</file>