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5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1E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B22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1750 OF THE 1976 CODE, RELATING TO THE DURATION OF A RESTRAINING ORDER AGAINST A PERSON ENGAGED IN HARASSMENT OR STALKING, TO PROVIDE THAT THE ORDER MAY NOT BE LIFTED WITHOUT THE CONSENT OF THE VICTIM; 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3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1780, RELATING TO THE MODIFICATION </w:t>
      </w:r>
      <w:r w:rsidR="005418B1">
        <w:rPr>
          <w:rFonts w:eastAsia="Times New Roman"/>
        </w:rPr>
        <w:t>OF R</w:t>
      </w:r>
      <w:r>
        <w:rPr>
          <w:rFonts w:eastAsia="Times New Roman"/>
        </w:rPr>
        <w:t>ESTRAINING ORDERS, TO PROVIDE THAT THE COURT MAY NOT TERMINATE THE FIXED PERIOD OR TERMINATE A RESTRAINING ORDER WITHOUT THE PRIOR CONSENT OF THE PLAINTIFF;</w:t>
      </w:r>
      <w:r w:rsidR="007057A6">
        <w:rPr>
          <w:rFonts w:eastAsia="Times New Roman"/>
        </w:rPr>
        <w:t xml:space="preserve"> </w:t>
      </w:r>
      <w:r>
        <w:rPr>
          <w:rFonts w:eastAsia="Times New Roman"/>
        </w:rPr>
        <w:t>TO AMEND SECTION 16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>25</w:t>
      </w:r>
      <w:r w:rsidR="00B33632">
        <w:rPr>
          <w:rFonts w:eastAsia="Times New Roman"/>
        </w:rPr>
        <w:noBreakHyphen/>
      </w:r>
      <w:r>
        <w:rPr>
          <w:rFonts w:eastAsia="Times New Roman"/>
        </w:rPr>
        <w:t xml:space="preserve">120, RELATING TO </w:t>
      </w:r>
      <w:r w:rsidR="005418B1">
        <w:rPr>
          <w:rFonts w:eastAsia="Times New Roman"/>
        </w:rPr>
        <w:t xml:space="preserve">THE </w:t>
      </w:r>
      <w:r>
        <w:rPr>
          <w:rFonts w:eastAsia="Times New Roman"/>
        </w:rPr>
        <w:t xml:space="preserve">ISSUANCE OF A RESTRAINING ORDER, TO PROVIDE THAT THE COURT MAY NOT SHORTEN THE FIXED PERIOD OR TERMINATE A RESTRAINING ORDER OR PROTECTIVE ORDER WITHOUT PRIOR CONSENT OF THE VICTIM; AND TO AMEND </w:t>
      </w:r>
      <w:r>
        <w:t>SECTION 20</w:t>
      </w:r>
      <w:r w:rsidR="00B33632">
        <w:noBreakHyphen/>
      </w:r>
      <w:r>
        <w:t>4</w:t>
      </w:r>
      <w:r w:rsidR="00B33632">
        <w:noBreakHyphen/>
      </w:r>
      <w:r>
        <w:t xml:space="preserve">70, RELATING TO THE DURATION OF THE TERM OF A PROTECTIVE ORDER AND THE MODIFICATION OF ITS TERMS, TO PROVIDE THAT EITHER PARTY MAY EXTEND THE LENGTH OF AN ORDER, </w:t>
      </w:r>
      <w:r w:rsidR="005418B1">
        <w:t xml:space="preserve">AND </w:t>
      </w:r>
      <w:r>
        <w:t xml:space="preserve">TO PROVIDE THAT THE LENGTH OF THE ORDER MAY NOT BE SHORTENED OR TERMINATED WITHOUT THE CONSENT OF THE PETITIONER. </w:t>
      </w:r>
    </w:p>
    <w:p w:rsidR="00231E77" w:rsidRDefault="00231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1.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1750(E)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“(E)</w:t>
      </w:r>
      <w:r w:rsidRPr="00E463F4">
        <w:rPr>
          <w:color w:val="000000" w:themeColor="text1"/>
          <w:u w:color="000000" w:themeColor="text1"/>
        </w:rPr>
        <w:tab/>
        <w:t xml:space="preserve">A restraining order remains in effect for a fixed period of time of not less than one year, as determined by the court on a </w:t>
      </w:r>
      <w:r w:rsidRPr="00E463F4">
        <w:rPr>
          <w:color w:val="000000" w:themeColor="text1"/>
          <w:u w:color="000000" w:themeColor="text1"/>
        </w:rPr>
        <w:lastRenderedPageBreak/>
        <w:t>case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by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case basis.  </w:t>
      </w:r>
      <w:r w:rsidRPr="00E463F4">
        <w:rPr>
          <w:color w:val="000000" w:themeColor="text1"/>
          <w:u w:val="single" w:color="000000" w:themeColor="text1"/>
        </w:rPr>
        <w:t>A restraining order may not be lifted by the court without the prior consent of the plaintiff.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2.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3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1780(D)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“(D)</w:t>
      </w:r>
      <w:r w:rsidRPr="00E463F4">
        <w:rPr>
          <w:color w:val="000000" w:themeColor="text1"/>
          <w:u w:color="000000" w:themeColor="text1"/>
        </w:rPr>
        <w:tab/>
        <w:t xml:space="preserve">The court may modify the terms of an order issued pursuant to this section </w:t>
      </w:r>
      <w:r w:rsidRPr="00E463F4">
        <w:rPr>
          <w:color w:val="000000" w:themeColor="text1"/>
          <w:u w:val="single" w:color="000000" w:themeColor="text1"/>
        </w:rPr>
        <w:t>but may not shorten the fixed period of an order or terminate the order without the prior consent of the plaintiff</w:t>
      </w:r>
      <w:r w:rsidRPr="00E463F4">
        <w:rPr>
          <w:color w:val="000000" w:themeColor="text1"/>
          <w:u w:color="000000" w:themeColor="text1"/>
        </w:rPr>
        <w:t>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  <w:t>3.</w:t>
      </w:r>
      <w:r w:rsidRPr="00E463F4">
        <w:rPr>
          <w:color w:val="000000" w:themeColor="text1"/>
          <w:u w:color="000000" w:themeColor="text1"/>
        </w:rPr>
        <w:tab/>
        <w:t>Section 16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25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120(C)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“(C)</w:t>
      </w:r>
      <w:r w:rsidRPr="00E463F4">
        <w:rPr>
          <w:color w:val="000000" w:themeColor="text1"/>
          <w:u w:color="000000" w:themeColor="text1"/>
        </w:rPr>
        <w:tab/>
        <w:t xml:space="preserve">When considering release of a person on bond under this section, the court must consider whether to issue a restraining order or order of protection provided for in Chapter 4 of Title 20 against the person.  The court must consider the factors enumerated in subsection (B) of this section, and if it determines in its discretion that a restraining order or order of protection is required, it should issue the order or forward the matter to the appropriate court.  </w:t>
      </w:r>
      <w:r w:rsidRPr="00E463F4">
        <w:rPr>
          <w:color w:val="000000" w:themeColor="text1"/>
          <w:u w:val="single" w:color="000000" w:themeColor="text1"/>
        </w:rPr>
        <w:t>If the court issues an order pursuant to this subsection, it may not shorten the fixed period or terminate the order without the prior consent of the victim.</w:t>
      </w:r>
      <w:r w:rsidRPr="00E463F4">
        <w:rPr>
          <w:color w:val="000000" w:themeColor="text1"/>
          <w:u w:color="000000" w:themeColor="text1"/>
        </w:rPr>
        <w:t>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4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 of the 1976 code is amended to read: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“Section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70.</w:t>
      </w:r>
      <w:r w:rsidRPr="00E463F4">
        <w:rPr>
          <w:color w:val="000000" w:themeColor="text1"/>
          <w:u w:color="000000" w:themeColor="text1"/>
        </w:rPr>
        <w:tab/>
        <w:t>(A)</w:t>
      </w:r>
      <w:r w:rsidRPr="00E463F4">
        <w:rPr>
          <w:color w:val="000000" w:themeColor="text1"/>
          <w:u w:color="000000" w:themeColor="text1"/>
        </w:rPr>
        <w:tab/>
        <w:t>An order of protection issued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 must be for a fixed time not less than six months nor more than one year unless the parties have reconciled as evidenced by an order of dismissal and may be extended </w:t>
      </w:r>
      <w:r w:rsidRPr="00E463F4">
        <w:rPr>
          <w:color w:val="000000" w:themeColor="text1"/>
          <w:u w:val="single" w:color="000000" w:themeColor="text1"/>
        </w:rPr>
        <w:t>by order of the court upon motion of either party</w:t>
      </w:r>
      <w:r w:rsidRPr="00E463F4">
        <w:rPr>
          <w:color w:val="000000" w:themeColor="text1"/>
          <w:u w:color="000000" w:themeColor="text1"/>
        </w:rPr>
        <w:t xml:space="preserve"> </w:t>
      </w:r>
      <w:r w:rsidRPr="00E463F4">
        <w:rPr>
          <w:strike/>
          <w:color w:val="000000" w:themeColor="text1"/>
          <w:u w:color="000000" w:themeColor="text1"/>
        </w:rPr>
        <w:t>or terminated by order of the court upon motion by either party</w:t>
      </w:r>
      <w:r w:rsidRPr="00E463F4">
        <w:rPr>
          <w:color w:val="000000" w:themeColor="text1"/>
          <w:u w:color="000000" w:themeColor="text1"/>
        </w:rPr>
        <w:t xml:space="preserve"> showing good cause with notice to the other party.  A respondent has the right to a hearing on the extension of an order issued pursuant to this section within thirty days of the date upon which the order will expire.  </w:t>
      </w:r>
      <w:r w:rsidRPr="00E463F4">
        <w:rPr>
          <w:color w:val="000000" w:themeColor="text1"/>
          <w:u w:val="single" w:color="000000" w:themeColor="text1"/>
        </w:rPr>
        <w:t>Except as otherwise provided in this subsection, an order of protection issued under Section 20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4</w:t>
      </w:r>
      <w:r w:rsidR="00B33632">
        <w:rPr>
          <w:color w:val="000000" w:themeColor="text1"/>
          <w:u w:val="single" w:color="000000" w:themeColor="text1"/>
        </w:rPr>
        <w:noBreakHyphen/>
      </w:r>
      <w:r w:rsidRPr="00E463F4">
        <w:rPr>
          <w:color w:val="000000" w:themeColor="text1"/>
          <w:u w:val="single" w:color="000000" w:themeColor="text1"/>
        </w:rPr>
        <w:t>60 may not be terminated prior to the expiration of its fixed or extended term without the consent of the petitioner.</w:t>
      </w:r>
      <w:r w:rsidRPr="00E463F4">
        <w:rPr>
          <w:color w:val="000000" w:themeColor="text1"/>
          <w:u w:color="000000" w:themeColor="text1"/>
        </w:rPr>
        <w:t xml:space="preserve">  If the parties reconcile, the issuing court may grant an order of dismissal without a hearing if the petitioner receiving the order of protection to be dismissed appears personally at the </w:t>
      </w:r>
      <w:r w:rsidRPr="00E463F4">
        <w:rPr>
          <w:color w:val="000000" w:themeColor="text1"/>
          <w:u w:color="000000" w:themeColor="text1"/>
        </w:rPr>
        <w:lastRenderedPageBreak/>
        <w:t xml:space="preserve">offices of the issuing court, shows proper identification, and signs a written request to dismiss based on the reconciliation.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(B)</w:t>
      </w:r>
      <w:r w:rsidRPr="00E463F4">
        <w:rPr>
          <w:color w:val="000000" w:themeColor="text1"/>
          <w:u w:color="000000" w:themeColor="text1"/>
        </w:rPr>
        <w:tab/>
        <w:t>Provisions included in an order of protection granting relief pursuant to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60(c) must be enforced until further order of the court following the issuance of the order unless before the expiration of the period the court has scheduled a hearing pursuant to the filing of an action for divorce or separate support and maintenance to determine the temporary rights and obligations of the parties with respect to support of a spouse or children, custody and visitation, or the distribution of personal property.  If the hearing has been scheduled, relief granted under Section 20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>4</w:t>
      </w:r>
      <w:r w:rsidR="00B33632">
        <w:rPr>
          <w:color w:val="000000" w:themeColor="text1"/>
          <w:u w:color="000000" w:themeColor="text1"/>
        </w:rPr>
        <w:noBreakHyphen/>
      </w:r>
      <w:r w:rsidRPr="00E463F4">
        <w:rPr>
          <w:color w:val="000000" w:themeColor="text1"/>
          <w:u w:color="000000" w:themeColor="text1"/>
        </w:rPr>
        <w:t xml:space="preserve">60(c) remains in effect until an order pursuant to the hearing is issued by the court. 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(C)</w:t>
      </w:r>
      <w:r w:rsidRPr="00E463F4">
        <w:rPr>
          <w:color w:val="000000" w:themeColor="text1"/>
          <w:u w:color="000000" w:themeColor="text1"/>
        </w:rPr>
        <w:tab/>
        <w:t>The family court may modify the terms of any order issued under this section</w:t>
      </w:r>
      <w:r w:rsidR="00B33632">
        <w:rPr>
          <w:color w:val="000000" w:themeColor="text1"/>
          <w:u w:val="single" w:color="000000" w:themeColor="text1"/>
        </w:rPr>
        <w:t xml:space="preserve">; </w:t>
      </w:r>
      <w:r w:rsidRPr="00E463F4">
        <w:rPr>
          <w:color w:val="000000" w:themeColor="text1"/>
          <w:u w:val="single" w:color="000000" w:themeColor="text1"/>
        </w:rPr>
        <w:t>provided, however, that it may not shorten the length of a fixed or extended time period or terminate an order of protection without the petitioner</w:t>
      </w:r>
      <w:r w:rsidR="00B33632" w:rsidRPr="00B33632">
        <w:rPr>
          <w:color w:val="000000" w:themeColor="text1"/>
          <w:u w:val="single" w:color="000000" w:themeColor="text1"/>
        </w:rPr>
        <w:t>’</w:t>
      </w:r>
      <w:r w:rsidRPr="00E463F4">
        <w:rPr>
          <w:color w:val="000000" w:themeColor="text1"/>
          <w:u w:val="single" w:color="000000" w:themeColor="text1"/>
        </w:rPr>
        <w:t>s prior written consent</w:t>
      </w:r>
      <w:r w:rsidRPr="00E463F4">
        <w:rPr>
          <w:color w:val="000000" w:themeColor="text1"/>
          <w:u w:color="000000" w:themeColor="text1"/>
        </w:rPr>
        <w:t>.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ab/>
        <w:t>(D)</w:t>
      </w:r>
      <w:r w:rsidRPr="00E463F4">
        <w:rPr>
          <w:color w:val="000000" w:themeColor="text1"/>
          <w:u w:color="000000" w:themeColor="text1"/>
        </w:rPr>
        <w:tab/>
        <w:t>An order of protection issued by a magistrate expires as provided under the terms of the order or upon the issuance of a subsequent order by the family court, whichever occurs first.”</w:t>
      </w: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E6861" w:rsidRPr="00E463F4" w:rsidRDefault="003E6861" w:rsidP="003E6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463F4">
        <w:rPr>
          <w:color w:val="000000" w:themeColor="text1"/>
          <w:u w:color="000000" w:themeColor="text1"/>
        </w:rPr>
        <w:t>SECTION</w:t>
      </w:r>
      <w:r w:rsidRPr="00E463F4">
        <w:rPr>
          <w:color w:val="000000" w:themeColor="text1"/>
          <w:u w:color="000000" w:themeColor="text1"/>
        </w:rPr>
        <w:tab/>
      </w:r>
      <w:r w:rsidR="00B33632">
        <w:rPr>
          <w:color w:val="000000" w:themeColor="text1"/>
          <w:u w:color="000000" w:themeColor="text1"/>
        </w:rPr>
        <w:t>5</w:t>
      </w:r>
      <w:r w:rsidRPr="00E463F4">
        <w:rPr>
          <w:color w:val="000000" w:themeColor="text1"/>
          <w:u w:color="000000" w:themeColor="text1"/>
        </w:rPr>
        <w:t>.</w:t>
      </w:r>
      <w:r w:rsidRPr="00E463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5C2E" w:rsidRDefault="00B3363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5C2E" w:rsidRDefault="004E5C2E" w:rsidP="004E5C2E">
      <w:pPr>
        <w:suppressAutoHyphens/>
        <w:jc w:val="both"/>
        <w:rPr>
          <w:rFonts w:eastAsia="Times New Roman"/>
        </w:rPr>
      </w:pPr>
    </w:p>
    <w:sectPr w:rsidR="004E5C2E" w:rsidSect="004E5C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230" w:rsidRDefault="00A21230" w:rsidP="00522CE0">
      <w:r>
        <w:separator/>
      </w:r>
    </w:p>
  </w:endnote>
  <w:endnote w:type="continuationSeparator" w:id="0">
    <w:p w:rsidR="00A21230" w:rsidRDefault="00A2123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E11B91-1C4B-4254-A15F-086B2CF13DAD}"/>
    <w:embedBold r:id="rId2" w:fontKey="{CA1BDEA7-997F-48E3-83D9-2D1DF54B02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582CF35-2EB7-4423-BD56-0E4D7864B3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6D04B87-EADB-462C-A31D-82EE222E7D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338" w:rsidRPr="004E5C2E" w:rsidRDefault="004E5C2E" w:rsidP="004E5C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230" w:rsidRDefault="00A21230" w:rsidP="00522CE0">
      <w:r>
        <w:separator/>
      </w:r>
    </w:p>
  </w:footnote>
  <w:footnote w:type="continuationSeparator" w:id="0">
    <w:p w:rsidR="00A21230" w:rsidRDefault="00A2123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docVars>
    <w:docVar w:name="clipname" w:val="017REST.KMM.KLB"/>
    <w:docVar w:name="CoverAttorneyInitials" w:val="KMM"/>
    <w:docVar w:name="CoverAttorneyLastName" w:val="Moffitt"/>
    <w:docVar w:name="CoverBillType" w:val="b"/>
    <w:docVar w:name="CoverSenator" w:val="KLB"/>
    <w:docVar w:name="dvBillNumber" w:val="969"/>
    <w:docVar w:name="dvBillNumberPrefix" w:val="S. "/>
    <w:docVar w:name="dvOriginalBody" w:val="Senate"/>
    <w:docVar w:name="fulldraftpath" w:val="L:\S-RES\KLB\017REST.KMM.KLB.DOCX"/>
    <w:docVar w:name="NameofBody" w:val="S"/>
    <w:docVar w:name="vgroup2" w:val="S-RES"/>
  </w:docVars>
  <w:rsids>
    <w:rsidRoot w:val="00864594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31E77"/>
    <w:rsid w:val="00245C4E"/>
    <w:rsid w:val="002C5896"/>
    <w:rsid w:val="002D3BED"/>
    <w:rsid w:val="002E631F"/>
    <w:rsid w:val="00307C2B"/>
    <w:rsid w:val="00364CB9"/>
    <w:rsid w:val="00383247"/>
    <w:rsid w:val="003D6E2B"/>
    <w:rsid w:val="003E6861"/>
    <w:rsid w:val="003E7597"/>
    <w:rsid w:val="003F74D4"/>
    <w:rsid w:val="004372A7"/>
    <w:rsid w:val="00450668"/>
    <w:rsid w:val="004952FA"/>
    <w:rsid w:val="004B6A22"/>
    <w:rsid w:val="004D7F37"/>
    <w:rsid w:val="004E5C2E"/>
    <w:rsid w:val="00522CE0"/>
    <w:rsid w:val="005418B1"/>
    <w:rsid w:val="00565148"/>
    <w:rsid w:val="00593361"/>
    <w:rsid w:val="005A5017"/>
    <w:rsid w:val="005A648C"/>
    <w:rsid w:val="005D2185"/>
    <w:rsid w:val="005F1745"/>
    <w:rsid w:val="00697A6A"/>
    <w:rsid w:val="006C74EA"/>
    <w:rsid w:val="007057A6"/>
    <w:rsid w:val="00720D40"/>
    <w:rsid w:val="007318D4"/>
    <w:rsid w:val="00765784"/>
    <w:rsid w:val="007A4390"/>
    <w:rsid w:val="007E5CB7"/>
    <w:rsid w:val="008314D2"/>
    <w:rsid w:val="00864594"/>
    <w:rsid w:val="008B2274"/>
    <w:rsid w:val="008B2F42"/>
    <w:rsid w:val="008E185F"/>
    <w:rsid w:val="008F023B"/>
    <w:rsid w:val="00904E16"/>
    <w:rsid w:val="009162B3"/>
    <w:rsid w:val="00927C62"/>
    <w:rsid w:val="00937338"/>
    <w:rsid w:val="00983951"/>
    <w:rsid w:val="00984124"/>
    <w:rsid w:val="00984640"/>
    <w:rsid w:val="00995C37"/>
    <w:rsid w:val="009C118A"/>
    <w:rsid w:val="00A02011"/>
    <w:rsid w:val="00A21230"/>
    <w:rsid w:val="00A37F54"/>
    <w:rsid w:val="00A4011E"/>
    <w:rsid w:val="00A624B6"/>
    <w:rsid w:val="00A86015"/>
    <w:rsid w:val="00AE59C8"/>
    <w:rsid w:val="00B10098"/>
    <w:rsid w:val="00B33632"/>
    <w:rsid w:val="00B5790D"/>
    <w:rsid w:val="00B945C5"/>
    <w:rsid w:val="00BA20EA"/>
    <w:rsid w:val="00BB5AFC"/>
    <w:rsid w:val="00BC0A56"/>
    <w:rsid w:val="00BF17E6"/>
    <w:rsid w:val="00C45366"/>
    <w:rsid w:val="00C74052"/>
    <w:rsid w:val="00C94746"/>
    <w:rsid w:val="00CB187A"/>
    <w:rsid w:val="00CC0EC7"/>
    <w:rsid w:val="00D1088B"/>
    <w:rsid w:val="00D156D2"/>
    <w:rsid w:val="00D4527B"/>
    <w:rsid w:val="00D86943"/>
    <w:rsid w:val="00DA47B9"/>
    <w:rsid w:val="00E71F70"/>
    <w:rsid w:val="00E76AD9"/>
    <w:rsid w:val="00E91E2F"/>
    <w:rsid w:val="00E93C47"/>
    <w:rsid w:val="00EA3546"/>
    <w:rsid w:val="00EB47AE"/>
    <w:rsid w:val="00EC34E1"/>
    <w:rsid w:val="00F0234A"/>
    <w:rsid w:val="00F52959"/>
    <w:rsid w:val="00F55884"/>
    <w:rsid w:val="00F910D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PMGroupNSC</cp:lastModifiedBy>
  <cp:revision>2</cp:revision>
  <cp:lastPrinted>2009-11-24T15:56:00Z</cp:lastPrinted>
  <dcterms:created xsi:type="dcterms:W3CDTF">2009-12-09T20:28:00Z</dcterms:created>
  <dcterms:modified xsi:type="dcterms:W3CDTF">2009-12-09T20:28:00Z</dcterms:modified>
</cp:coreProperties>
</file>