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CE2" w:rsidRDefault="00FC1CE2" w:rsidP="00FC1CE2">
      <w:pPr>
        <w:widowControl w:val="0"/>
        <w:jc w:val="center"/>
      </w:pPr>
      <w:bookmarkStart w:id="0" w:name="_GoBack"/>
      <w:bookmarkEnd w:id="0"/>
      <w:r w:rsidRPr="00FC1CE2">
        <w:rPr>
          <w:b/>
        </w:rPr>
        <w:t>South Carolina General Assembly</w:t>
      </w:r>
    </w:p>
    <w:p w:rsidR="00FC1CE2" w:rsidRDefault="00FC1CE2" w:rsidP="00FC1CE2">
      <w:pPr>
        <w:widowControl w:val="0"/>
        <w:jc w:val="center"/>
      </w:pPr>
      <w:r>
        <w:t>119th Session, 2011-2012</w:t>
      </w:r>
    </w:p>
    <w:p w:rsidR="00FC1CE2" w:rsidRDefault="00FC1CE2" w:rsidP="00FC1CE2">
      <w:pPr>
        <w:widowControl w:val="0"/>
      </w:pPr>
    </w:p>
    <w:p w:rsidR="00FC1CE2" w:rsidRDefault="00FC1CE2" w:rsidP="00FC1CE2">
      <w:pPr>
        <w:widowControl w:val="0"/>
        <w:rPr>
          <w:b/>
        </w:rPr>
      </w:pPr>
      <w:r w:rsidRPr="00FC1CE2">
        <w:rPr>
          <w:b/>
        </w:rPr>
        <w:t>S.</w:t>
      </w:r>
      <w:r>
        <w:rPr>
          <w:b/>
        </w:rPr>
        <w:t xml:space="preserve"> </w:t>
      </w:r>
      <w:r w:rsidRPr="00FC1CE2">
        <w:rPr>
          <w:b/>
        </w:rPr>
        <w:t>1060</w:t>
      </w:r>
    </w:p>
    <w:p w:rsidR="00FC1CE2" w:rsidRDefault="00FC1CE2" w:rsidP="00FC1CE2">
      <w:pPr>
        <w:widowControl w:val="0"/>
        <w:rPr>
          <w:b/>
        </w:rPr>
      </w:pPr>
    </w:p>
    <w:p w:rsidR="00FC1CE2" w:rsidRDefault="00FC1CE2" w:rsidP="00FC1CE2">
      <w:pPr>
        <w:widowControl w:val="0"/>
      </w:pPr>
      <w:r w:rsidRPr="00FC1CE2">
        <w:rPr>
          <w:b/>
        </w:rPr>
        <w:t>STATUS INFORMATION</w:t>
      </w:r>
    </w:p>
    <w:p w:rsidR="00FC1CE2" w:rsidRDefault="00FC1CE2" w:rsidP="00FC1CE2">
      <w:pPr>
        <w:widowControl w:val="0"/>
      </w:pPr>
    </w:p>
    <w:p w:rsidR="00FC1CE2" w:rsidRDefault="00FC1CE2" w:rsidP="00FC1CE2">
      <w:pPr>
        <w:widowControl w:val="0"/>
      </w:pPr>
      <w:r>
        <w:t>General Bill</w:t>
      </w:r>
    </w:p>
    <w:p w:rsidR="00FC1CE2" w:rsidRDefault="00FC1CE2" w:rsidP="00FC1CE2">
      <w:pPr>
        <w:widowControl w:val="0"/>
      </w:pPr>
      <w:r>
        <w:t>Sponsors: Senator Campsen</w:t>
      </w:r>
    </w:p>
    <w:p w:rsidR="00FC1CE2" w:rsidRDefault="00FC1CE2" w:rsidP="00FC1CE2">
      <w:pPr>
        <w:widowControl w:val="0"/>
      </w:pPr>
      <w:r>
        <w:t>Document Path: l:\s-jud\bills\campsen\jud0009.jjg.docx</w:t>
      </w:r>
    </w:p>
    <w:p w:rsidR="00FC1CE2" w:rsidRDefault="00FC1CE2" w:rsidP="00FC1CE2">
      <w:pPr>
        <w:widowControl w:val="0"/>
      </w:pPr>
    </w:p>
    <w:p w:rsidR="005D24FB" w:rsidRDefault="005D24FB" w:rsidP="00FC1CE2">
      <w:pPr>
        <w:widowControl w:val="0"/>
      </w:pPr>
      <w:r>
        <w:t>Introduced in the Senate on January 10, 2012</w:t>
      </w:r>
    </w:p>
    <w:p w:rsidR="005D24FB" w:rsidRPr="005D24FB" w:rsidRDefault="005D24FB" w:rsidP="00FC1CE2">
      <w:pPr>
        <w:widowControl w:val="0"/>
      </w:pPr>
      <w:r>
        <w:t xml:space="preserve">Currently residing in the Senate Committee on </w:t>
      </w:r>
      <w:r w:rsidRPr="005D24FB">
        <w:rPr>
          <w:b/>
        </w:rPr>
        <w:t>Judiciary</w:t>
      </w:r>
    </w:p>
    <w:p w:rsidR="005D24FB" w:rsidRDefault="005D24FB" w:rsidP="00FC1CE2">
      <w:pPr>
        <w:widowControl w:val="0"/>
      </w:pPr>
    </w:p>
    <w:p w:rsidR="00FC1CE2" w:rsidRDefault="00FC1CE2" w:rsidP="00FC1CE2">
      <w:pPr>
        <w:widowControl w:val="0"/>
      </w:pPr>
      <w:r>
        <w:t xml:space="preserve">Summary: </w:t>
      </w:r>
      <w:r w:rsidR="001D4BAA">
        <w:t>Matters considered to determine release on bail</w:t>
      </w:r>
    </w:p>
    <w:p w:rsidR="00FC1CE2" w:rsidRDefault="00FC1CE2" w:rsidP="00FC1CE2">
      <w:pPr>
        <w:widowControl w:val="0"/>
      </w:pPr>
    </w:p>
    <w:p w:rsidR="00FC1CE2" w:rsidRDefault="00FC1CE2" w:rsidP="00FC1CE2">
      <w:pPr>
        <w:widowControl w:val="0"/>
      </w:pPr>
    </w:p>
    <w:p w:rsidR="00FC1CE2" w:rsidRDefault="00FC1CE2" w:rsidP="00FC1CE2">
      <w:pPr>
        <w:widowControl w:val="0"/>
        <w:tabs>
          <w:tab w:val="center" w:pos="590"/>
          <w:tab w:val="center" w:pos="1440"/>
          <w:tab w:val="left" w:pos="1872"/>
          <w:tab w:val="left" w:pos="9187"/>
        </w:tabs>
      </w:pPr>
      <w:r w:rsidRPr="00FC1CE2">
        <w:rPr>
          <w:b/>
        </w:rPr>
        <w:t>HISTORY OF LEGISLATIVE ACTIONS</w:t>
      </w:r>
    </w:p>
    <w:p w:rsidR="00FC1CE2" w:rsidRDefault="00FC1CE2" w:rsidP="00FC1CE2">
      <w:pPr>
        <w:widowControl w:val="0"/>
        <w:tabs>
          <w:tab w:val="center" w:pos="590"/>
          <w:tab w:val="center" w:pos="1440"/>
          <w:tab w:val="left" w:pos="1872"/>
          <w:tab w:val="left" w:pos="9187"/>
        </w:tabs>
      </w:pPr>
    </w:p>
    <w:p w:rsidR="00FC1CE2" w:rsidRPr="00FC1CE2" w:rsidRDefault="00FC1CE2" w:rsidP="00FC1CE2">
      <w:pPr>
        <w:widowControl w:val="0"/>
        <w:tabs>
          <w:tab w:val="center" w:pos="590"/>
          <w:tab w:val="center" w:pos="1440"/>
          <w:tab w:val="left" w:pos="1872"/>
          <w:tab w:val="left" w:pos="9187"/>
        </w:tabs>
      </w:pPr>
      <w:r w:rsidRPr="00FC1CE2">
        <w:rPr>
          <w:u w:val="single"/>
        </w:rPr>
        <w:tab/>
        <w:t>Date</w:t>
      </w:r>
      <w:r w:rsidRPr="00FC1CE2">
        <w:rPr>
          <w:u w:val="single"/>
        </w:rPr>
        <w:tab/>
        <w:t>Body</w:t>
      </w:r>
      <w:r w:rsidRPr="00FC1CE2">
        <w:rPr>
          <w:u w:val="single"/>
        </w:rPr>
        <w:tab/>
        <w:t>Action Description with journal page number</w:t>
      </w:r>
      <w:r w:rsidRPr="00FC1CE2">
        <w:rPr>
          <w:u w:val="single"/>
        </w:rPr>
        <w:tab/>
      </w:r>
    </w:p>
    <w:p w:rsidR="001D2B21" w:rsidRDefault="001D2B21" w:rsidP="001D2B21">
      <w:pPr>
        <w:widowControl w:val="0"/>
        <w:tabs>
          <w:tab w:val="right" w:pos="1008"/>
          <w:tab w:val="left" w:pos="1152"/>
          <w:tab w:val="left" w:pos="1872"/>
          <w:tab w:val="left" w:pos="9187"/>
        </w:tabs>
        <w:ind w:left="2088" w:hanging="2088"/>
      </w:pPr>
      <w:r>
        <w:tab/>
        <w:t>12/14/2011</w:t>
      </w:r>
      <w:r>
        <w:tab/>
        <w:t>Senate</w:t>
      </w:r>
      <w:r>
        <w:tab/>
      </w:r>
      <w:r w:rsidRPr="002D62F9">
        <w:t>Prefiled</w:t>
      </w:r>
    </w:p>
    <w:p w:rsidR="001D2B21" w:rsidRDefault="001D2B21" w:rsidP="001D2B21">
      <w:pPr>
        <w:widowControl w:val="0"/>
        <w:tabs>
          <w:tab w:val="right" w:pos="1008"/>
          <w:tab w:val="left" w:pos="1152"/>
          <w:tab w:val="left" w:pos="1872"/>
          <w:tab w:val="left" w:pos="9187"/>
        </w:tabs>
        <w:ind w:left="2088" w:hanging="2088"/>
      </w:pPr>
      <w:r>
        <w:tab/>
        <w:t>12/14/2011</w:t>
      </w:r>
      <w:r>
        <w:tab/>
        <w:t>Senate</w:t>
      </w:r>
      <w:r>
        <w:tab/>
      </w:r>
      <w:r w:rsidRPr="002D62F9">
        <w:t xml:space="preserve">Referred to Committee on </w:t>
      </w:r>
      <w:r w:rsidRPr="002D62F9">
        <w:rPr>
          <w:b/>
        </w:rPr>
        <w:t>Judiciary</w:t>
      </w:r>
    </w:p>
    <w:p w:rsidR="001D2B21" w:rsidRDefault="001D2B21" w:rsidP="001D2B21">
      <w:pPr>
        <w:widowControl w:val="0"/>
        <w:tabs>
          <w:tab w:val="right" w:pos="1008"/>
          <w:tab w:val="left" w:pos="1152"/>
          <w:tab w:val="left" w:pos="1872"/>
          <w:tab w:val="left" w:pos="9187"/>
        </w:tabs>
        <w:ind w:left="2088" w:hanging="2088"/>
      </w:pPr>
      <w:r>
        <w:tab/>
        <w:t>1/10/2012</w:t>
      </w:r>
      <w:r>
        <w:tab/>
        <w:t>Senate</w:t>
      </w:r>
      <w:r>
        <w:tab/>
      </w:r>
      <w:r w:rsidRPr="002D62F9">
        <w:t>Introduced and read first time (</w:t>
      </w:r>
      <w:hyperlink r:id="rId6" w:history="1">
        <w:r w:rsidRPr="002D62F9">
          <w:rPr>
            <w:rStyle w:val="Hyperlink"/>
          </w:rPr>
          <w:t>Senate Journal</w:t>
        </w:r>
        <w:r w:rsidRPr="002D62F9">
          <w:rPr>
            <w:rStyle w:val="Hyperlink"/>
          </w:rPr>
          <w:noBreakHyphen/>
          <w:t>page 34</w:t>
        </w:r>
      </w:hyperlink>
      <w:r w:rsidRPr="002D62F9">
        <w:t>)</w:t>
      </w:r>
    </w:p>
    <w:p w:rsidR="001D2B21" w:rsidRDefault="001D2B21" w:rsidP="001D2B21">
      <w:pPr>
        <w:widowControl w:val="0"/>
        <w:tabs>
          <w:tab w:val="right" w:pos="1008"/>
          <w:tab w:val="left" w:pos="1152"/>
          <w:tab w:val="left" w:pos="1872"/>
          <w:tab w:val="left" w:pos="9187"/>
        </w:tabs>
        <w:ind w:left="2088" w:hanging="2088"/>
      </w:pPr>
      <w:r>
        <w:tab/>
        <w:t>1/10/2012</w:t>
      </w:r>
      <w:r>
        <w:tab/>
        <w:t>Senate</w:t>
      </w:r>
      <w:r>
        <w:tab/>
      </w:r>
      <w:r w:rsidRPr="002D62F9">
        <w:t>Ref</w:t>
      </w:r>
      <w:r>
        <w:t xml:space="preserve">erred to Committee on </w:t>
      </w:r>
      <w:r w:rsidRPr="002D62F9">
        <w:rPr>
          <w:b/>
        </w:rPr>
        <w:t>Judiciary</w:t>
      </w:r>
      <w:r>
        <w:t xml:space="preserve"> </w:t>
      </w:r>
      <w:r w:rsidRPr="002D62F9">
        <w:t>(</w:t>
      </w:r>
      <w:hyperlink r:id="rId7" w:history="1">
        <w:r w:rsidRPr="002D62F9">
          <w:rPr>
            <w:rStyle w:val="Hyperlink"/>
          </w:rPr>
          <w:t>Senate Journal</w:t>
        </w:r>
        <w:r w:rsidRPr="002D62F9">
          <w:rPr>
            <w:rStyle w:val="Hyperlink"/>
          </w:rPr>
          <w:noBreakHyphen/>
          <w:t>page 34</w:t>
        </w:r>
      </w:hyperlink>
      <w:r w:rsidRPr="002D62F9">
        <w:t>)</w:t>
      </w:r>
    </w:p>
    <w:p w:rsidR="001D2B21" w:rsidRDefault="001D2B21" w:rsidP="001D2B21">
      <w:pPr>
        <w:widowControl w:val="0"/>
        <w:tabs>
          <w:tab w:val="right" w:pos="1008"/>
          <w:tab w:val="left" w:pos="1152"/>
          <w:tab w:val="left" w:pos="1872"/>
          <w:tab w:val="left" w:pos="9187"/>
        </w:tabs>
        <w:ind w:left="2088" w:hanging="2088"/>
      </w:pPr>
      <w:r>
        <w:tab/>
        <w:t>1/9/2012</w:t>
      </w:r>
      <w:r>
        <w:tab/>
        <w:t>Senate</w:t>
      </w:r>
      <w:r>
        <w:tab/>
      </w:r>
      <w:r w:rsidRPr="002D62F9">
        <w:t>Referred to Subcommittee: Knotts (ch), Massey, Coleman</w:t>
      </w:r>
    </w:p>
    <w:p w:rsidR="001D2B21" w:rsidRDefault="001D2B21" w:rsidP="001D2B21">
      <w:pPr>
        <w:widowControl w:val="0"/>
        <w:tabs>
          <w:tab w:val="right" w:pos="1008"/>
          <w:tab w:val="left" w:pos="1152"/>
          <w:tab w:val="left" w:pos="1872"/>
          <w:tab w:val="left" w:pos="9187"/>
        </w:tabs>
        <w:ind w:left="2088" w:hanging="2088"/>
      </w:pPr>
    </w:p>
    <w:p w:rsidR="00FC1CE2" w:rsidRPr="00FC1CE2" w:rsidRDefault="00FC1CE2" w:rsidP="00FC1CE2">
      <w:pPr>
        <w:widowControl w:val="0"/>
        <w:tabs>
          <w:tab w:val="right" w:pos="1008"/>
          <w:tab w:val="left" w:pos="1152"/>
          <w:tab w:val="left" w:pos="1872"/>
          <w:tab w:val="left" w:pos="9187"/>
        </w:tabs>
        <w:ind w:left="2088" w:hanging="2088"/>
      </w:pPr>
    </w:p>
    <w:p w:rsidR="00FC1CE2" w:rsidRDefault="00FC1CE2" w:rsidP="00FC1CE2">
      <w:pPr>
        <w:widowControl w:val="0"/>
      </w:pPr>
      <w:r w:rsidRPr="00FC1CE2">
        <w:rPr>
          <w:b/>
        </w:rPr>
        <w:t>VERSIONS OF THIS BILL</w:t>
      </w:r>
    </w:p>
    <w:p w:rsidR="00FC1CE2" w:rsidRDefault="00FC1CE2" w:rsidP="00FC1CE2">
      <w:pPr>
        <w:widowControl w:val="0"/>
      </w:pPr>
    </w:p>
    <w:p w:rsidR="00FC1CE2" w:rsidRDefault="00A014BC" w:rsidP="00FC1CE2">
      <w:pPr>
        <w:widowControl w:val="0"/>
      </w:pPr>
      <w:hyperlink r:id="rId8" w:history="1">
        <w:r w:rsidR="00FC1CE2">
          <w:rPr>
            <w:rStyle w:val="Hyperlink"/>
          </w:rPr>
          <w:t>12/14/2011</w:t>
        </w:r>
      </w:hyperlink>
    </w:p>
    <w:p w:rsidR="00FC1CE2" w:rsidRDefault="00FC1CE2" w:rsidP="00FC1CE2"/>
    <w:p w:rsidR="00FC1CE2" w:rsidRDefault="00FC1CE2" w:rsidP="00FC1CE2">
      <w:pPr>
        <w:sectPr w:rsidR="00FC1CE2" w:rsidSect="00FC1CE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1F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44C4B"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B4423">
        <w:rPr>
          <w:color w:val="000000" w:themeColor="text1"/>
          <w:u w:color="000000" w:themeColor="text1"/>
        </w:rPr>
        <w:t>TO AMEND SECTION 17</w:t>
      </w:r>
      <w:r w:rsidRPr="007B4423">
        <w:rPr>
          <w:color w:val="000000" w:themeColor="text1"/>
          <w:u w:color="000000" w:themeColor="text1"/>
        </w:rPr>
        <w:noBreakHyphen/>
        <w:t>15</w:t>
      </w:r>
      <w:r w:rsidRPr="007B4423">
        <w:rPr>
          <w:color w:val="000000" w:themeColor="text1"/>
          <w:u w:color="000000" w:themeColor="text1"/>
        </w:rPr>
        <w:noBreakHyphen/>
        <w:t>30 OF THE CODE OF LAWS OF SOUTH CAROLINA, 1976, RELATING TO MATTERS TO BE CONSIDERED IN DETERMINING CONDITIONS OF RELEASE, SO AS TO PROVIDE THAT A PERSON WHO IS RELEASED ON BAIL PENDING TRIAL, AND IS SUBSEQUENTLY CHARGED WITH A VIOLENT OFFENSE, SHALL BE DENIED BAIL WHEN THE PROSECUTOR PROVES BY A PREPONDERANCE OF THE EVIDENCE THAT NO CONDITION OR COMBINATION OF CONDITIONS REASONABLY ASSURES THE SAFETY OF ANY OTHER PERSON OR THE SAFETY OF THE COMMUNITY IF THE PERSON IS RELEASED, AND TO REQUIRE THE COURT TO CONSIDER THE SOURCE OF FUNDS TO POST BAIL AS IT RELATES TO NONAPPEARANCE.</w:t>
      </w:r>
    </w:p>
    <w:p w:rsidR="00411F49" w:rsidRDefault="0041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1F49" w:rsidRDefault="0041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11F49" w:rsidRDefault="0041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SECTION</w:t>
      </w:r>
      <w:r w:rsidRPr="009B00EE">
        <w:rPr>
          <w:color w:val="000000" w:themeColor="text1"/>
          <w:u w:color="000000" w:themeColor="text1"/>
        </w:rPr>
        <w:tab/>
        <w:t>1.</w:t>
      </w:r>
      <w:r w:rsidRPr="009B00EE">
        <w:rPr>
          <w:color w:val="000000" w:themeColor="text1"/>
          <w:u w:color="000000" w:themeColor="text1"/>
        </w:rPr>
        <w:tab/>
        <w:t>Section 17</w:t>
      </w:r>
      <w:r w:rsidRPr="009B00EE">
        <w:rPr>
          <w:color w:val="000000" w:themeColor="text1"/>
          <w:u w:color="000000" w:themeColor="text1"/>
        </w:rPr>
        <w:noBreakHyphen/>
        <w:t>15</w:t>
      </w:r>
      <w:r w:rsidRPr="009B00EE">
        <w:rPr>
          <w:color w:val="000000" w:themeColor="text1"/>
          <w:u w:color="000000" w:themeColor="text1"/>
        </w:rPr>
        <w:noBreakHyphen/>
        <w:t>30 of the 1976 Code is amended to read:</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4C4B" w:rsidRPr="009B00EE" w:rsidRDefault="00352C3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15</w:t>
      </w:r>
      <w:r>
        <w:rPr>
          <w:color w:val="000000" w:themeColor="text1"/>
          <w:u w:color="000000" w:themeColor="text1"/>
        </w:rPr>
        <w:noBreakHyphen/>
        <w:t>30.</w:t>
      </w:r>
      <w:r w:rsidR="00C44C4B">
        <w:rPr>
          <w:color w:val="000000" w:themeColor="text1"/>
          <w:u w:color="000000" w:themeColor="text1"/>
        </w:rPr>
        <w:tab/>
        <w:t>(A)</w:t>
      </w:r>
      <w:r w:rsidR="00C44C4B">
        <w:rPr>
          <w:color w:val="000000" w:themeColor="text1"/>
          <w:u w:color="000000" w:themeColor="text1"/>
        </w:rPr>
        <w:tab/>
      </w:r>
      <w:r w:rsidR="00C44C4B" w:rsidRPr="009B00EE">
        <w:rPr>
          <w:color w:val="000000" w:themeColor="text1"/>
          <w:u w:color="000000" w:themeColor="text1"/>
        </w:rPr>
        <w:t xml:space="preserve">In determining conditions of release that will reasonably assure appearance, or if release would constitute an unreasonable danger to the community, the court may, on the basis of available information, consider the nature and circumstances of the offense charged and the accused’s: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B00EE">
        <w:rPr>
          <w:color w:val="000000" w:themeColor="text1"/>
          <w:u w:color="000000" w:themeColor="text1"/>
        </w:rPr>
        <w:t xml:space="preserve">family ties;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B00EE">
        <w:rPr>
          <w:color w:val="000000" w:themeColor="text1"/>
          <w:u w:color="000000" w:themeColor="text1"/>
        </w:rPr>
        <w:t xml:space="preserve">employment;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(3)</w:t>
      </w:r>
      <w:r>
        <w:rPr>
          <w:color w:val="000000" w:themeColor="text1"/>
          <w:u w:color="000000" w:themeColor="text1"/>
        </w:rPr>
        <w:tab/>
      </w:r>
      <w:r w:rsidRPr="009B00EE">
        <w:rPr>
          <w:color w:val="000000" w:themeColor="text1"/>
          <w:u w:color="000000" w:themeColor="text1"/>
        </w:rPr>
        <w:t xml:space="preserve">financial resources;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(4)</w:t>
      </w:r>
      <w:r>
        <w:rPr>
          <w:color w:val="000000" w:themeColor="text1"/>
          <w:u w:color="000000" w:themeColor="text1"/>
        </w:rPr>
        <w:tab/>
      </w:r>
      <w:r w:rsidRPr="009B00EE">
        <w:rPr>
          <w:color w:val="000000" w:themeColor="text1"/>
          <w:u w:color="000000" w:themeColor="text1"/>
        </w:rPr>
        <w:t xml:space="preserve">character and mental condition;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(5)</w:t>
      </w:r>
      <w:r>
        <w:rPr>
          <w:color w:val="000000" w:themeColor="text1"/>
          <w:u w:color="000000" w:themeColor="text1"/>
        </w:rPr>
        <w:tab/>
      </w:r>
      <w:r w:rsidRPr="009B00EE">
        <w:rPr>
          <w:color w:val="000000" w:themeColor="text1"/>
          <w:u w:color="000000" w:themeColor="text1"/>
        </w:rPr>
        <w:t xml:space="preserve">length of residence in the community;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(6)</w:t>
      </w:r>
      <w:r>
        <w:rPr>
          <w:color w:val="000000" w:themeColor="text1"/>
          <w:u w:color="000000" w:themeColor="text1"/>
        </w:rPr>
        <w:tab/>
      </w:r>
      <w:r w:rsidRPr="009B00EE">
        <w:rPr>
          <w:color w:val="000000" w:themeColor="text1"/>
          <w:u w:color="000000" w:themeColor="text1"/>
        </w:rPr>
        <w:t xml:space="preserve">record of convictions;  and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(7)</w:t>
      </w:r>
      <w:r>
        <w:rPr>
          <w:color w:val="000000" w:themeColor="text1"/>
          <w:u w:color="000000" w:themeColor="text1"/>
        </w:rPr>
        <w:tab/>
      </w:r>
      <w:r w:rsidRPr="009B00EE">
        <w:rPr>
          <w:color w:val="000000" w:themeColor="text1"/>
          <w:u w:color="000000" w:themeColor="text1"/>
        </w:rPr>
        <w:t xml:space="preserve">record of flight to avoid prosecution or failure to appear at other court proceedings.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Pr>
          <w:color w:val="000000" w:themeColor="text1"/>
          <w:u w:color="000000" w:themeColor="text1"/>
        </w:rPr>
        <w:t>(B)</w:t>
      </w:r>
      <w:r>
        <w:rPr>
          <w:color w:val="000000" w:themeColor="text1"/>
          <w:u w:color="000000" w:themeColor="text1"/>
        </w:rPr>
        <w:tab/>
      </w:r>
      <w:r w:rsidRPr="009B00EE">
        <w:rPr>
          <w:color w:val="000000" w:themeColor="text1"/>
          <w:u w:color="000000" w:themeColor="text1"/>
        </w:rPr>
        <w:t xml:space="preserve">The court shall consider: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B00EE">
        <w:rPr>
          <w:color w:val="000000" w:themeColor="text1"/>
          <w:u w:color="000000" w:themeColor="text1"/>
        </w:rPr>
        <w:t xml:space="preserve">the accused’s criminal record;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B00EE">
        <w:rPr>
          <w:color w:val="000000" w:themeColor="text1"/>
          <w:u w:color="000000" w:themeColor="text1"/>
        </w:rPr>
        <w:t xml:space="preserve">any charges pending against the accused at the time release is requested;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(3)</w:t>
      </w:r>
      <w:r>
        <w:rPr>
          <w:color w:val="000000" w:themeColor="text1"/>
          <w:u w:color="000000" w:themeColor="text1"/>
        </w:rPr>
        <w:tab/>
      </w:r>
      <w:r w:rsidRPr="009B00EE">
        <w:rPr>
          <w:color w:val="000000" w:themeColor="text1"/>
          <w:u w:color="000000" w:themeColor="text1"/>
        </w:rPr>
        <w:t xml:space="preserve">all incident reports generated as a result of the offense charged, if available;  </w:t>
      </w:r>
      <w:r w:rsidRPr="009B00EE">
        <w:rPr>
          <w:strike/>
          <w:color w:val="000000" w:themeColor="text1"/>
          <w:u w:color="000000" w:themeColor="text1"/>
        </w:rPr>
        <w:t>and</w:t>
      </w:r>
      <w:r w:rsidRPr="009B00EE">
        <w:rPr>
          <w:color w:val="000000" w:themeColor="text1"/>
          <w:u w:color="000000" w:themeColor="text1"/>
        </w:rPr>
        <w:t xml:space="preserve">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(4)</w:t>
      </w:r>
      <w:r>
        <w:rPr>
          <w:color w:val="000000" w:themeColor="text1"/>
          <w:u w:color="000000" w:themeColor="text1"/>
        </w:rPr>
        <w:tab/>
      </w:r>
      <w:r w:rsidRPr="009B00EE">
        <w:rPr>
          <w:color w:val="000000" w:themeColor="text1"/>
          <w:u w:color="000000" w:themeColor="text1"/>
        </w:rPr>
        <w:t>whether the accused is an alien unlawfully present in the United States, and poses a substantial flight risk due to this status</w:t>
      </w:r>
      <w:r w:rsidRPr="009B00EE">
        <w:rPr>
          <w:color w:val="000000" w:themeColor="text1"/>
          <w:u w:val="single" w:color="000000" w:themeColor="text1"/>
        </w:rPr>
        <w:t>; and</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sidRPr="009B00EE">
        <w:rPr>
          <w:color w:val="000000" w:themeColor="text1"/>
          <w:u w:val="single" w:color="000000" w:themeColor="text1"/>
        </w:rPr>
        <w:t>(5)</w:t>
      </w:r>
      <w:r>
        <w:rPr>
          <w:color w:val="000000" w:themeColor="text1"/>
          <w:u w:color="000000" w:themeColor="text1"/>
        </w:rPr>
        <w:tab/>
      </w:r>
      <w:r w:rsidRPr="009B00EE">
        <w:rPr>
          <w:color w:val="000000" w:themeColor="text1"/>
          <w:u w:val="single" w:color="000000" w:themeColor="text1"/>
        </w:rPr>
        <w:t>the source of funds used to post bail insofar as it affects the risk of nonappearance</w:t>
      </w:r>
      <w:r w:rsidRPr="009B00EE">
        <w:rPr>
          <w:color w:val="000000" w:themeColor="text1"/>
          <w:u w:color="000000" w:themeColor="text1"/>
        </w:rPr>
        <w:t xml:space="preserve">.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B00EE">
        <w:rPr>
          <w:color w:val="000000" w:themeColor="text1"/>
          <w:u w:color="000000" w:themeColor="text1"/>
        </w:rPr>
        <w:t xml:space="preserve">Prior to or at the time of the hearing, the law enforcement officer, local detention facility officer, or local jail officer, as applicable, attending the hearing shall provide the court with the following information if available: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B00EE">
        <w:rPr>
          <w:color w:val="000000" w:themeColor="text1"/>
          <w:u w:color="000000" w:themeColor="text1"/>
        </w:rPr>
        <w:t xml:space="preserve">the accused’s criminal record;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B00EE">
        <w:rPr>
          <w:color w:val="000000" w:themeColor="text1"/>
          <w:u w:color="000000" w:themeColor="text1"/>
        </w:rPr>
        <w:t xml:space="preserve">any charges pending against the accused at the time release is requested;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(3)</w:t>
      </w:r>
      <w:r>
        <w:rPr>
          <w:color w:val="000000" w:themeColor="text1"/>
          <w:u w:color="000000" w:themeColor="text1"/>
        </w:rPr>
        <w:tab/>
      </w:r>
      <w:r w:rsidRPr="009B00EE">
        <w:rPr>
          <w:color w:val="000000" w:themeColor="text1"/>
          <w:u w:color="000000" w:themeColor="text1"/>
        </w:rPr>
        <w:t xml:space="preserve">all incident reports generated as a result of the offense charged;  and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(4)</w:t>
      </w:r>
      <w:r>
        <w:rPr>
          <w:color w:val="000000" w:themeColor="text1"/>
          <w:u w:color="000000" w:themeColor="text1"/>
        </w:rPr>
        <w:tab/>
      </w:r>
      <w:r w:rsidRPr="009B00EE">
        <w:rPr>
          <w:color w:val="000000" w:themeColor="text1"/>
          <w:u w:color="000000" w:themeColor="text1"/>
        </w:rPr>
        <w:t xml:space="preserve">any other information that will assist the court in determining conditions of release.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val="single" w:color="000000" w:themeColor="text1"/>
        </w:rPr>
        <w:t>(D)</w:t>
      </w:r>
      <w:r>
        <w:rPr>
          <w:color w:val="000000" w:themeColor="text1"/>
          <w:u w:color="000000" w:themeColor="text1"/>
        </w:rPr>
        <w:tab/>
      </w:r>
      <w:r w:rsidRPr="009B00EE">
        <w:rPr>
          <w:color w:val="000000" w:themeColor="text1"/>
          <w:u w:val="single" w:color="000000" w:themeColor="text1"/>
        </w:rPr>
        <w:t>If a person has previously been released on bail pending trial and during his release is charged with a violent offense as defined by Section 16</w:t>
      </w:r>
      <w:r w:rsidRPr="009B00EE">
        <w:rPr>
          <w:color w:val="000000" w:themeColor="text1"/>
          <w:u w:val="single" w:color="000000" w:themeColor="text1"/>
        </w:rPr>
        <w:noBreakHyphen/>
        <w:t>1</w:t>
      </w:r>
      <w:r w:rsidRPr="009B00EE">
        <w:rPr>
          <w:color w:val="000000" w:themeColor="text1"/>
          <w:u w:val="single" w:color="000000" w:themeColor="text1"/>
        </w:rPr>
        <w:noBreakHyphen/>
        <w:t>60, and the court finds, by a preponderance of the evidence, that no condition or combination of conditions will reasonably assure the appearance of the person as required or the safety of any other person and the community, then the court shall deny release of the person pending trial.</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strike/>
          <w:color w:val="000000" w:themeColor="text1"/>
          <w:u w:color="000000" w:themeColor="text1"/>
        </w:rPr>
        <w:t>(D)</w:t>
      </w:r>
      <w:r w:rsidRPr="009B00EE">
        <w:rPr>
          <w:color w:val="000000" w:themeColor="text1"/>
          <w:u w:val="single" w:color="000000" w:themeColor="text1"/>
        </w:rPr>
        <w:t>(E)</w:t>
      </w:r>
      <w:r>
        <w:rPr>
          <w:color w:val="000000" w:themeColor="text1"/>
          <w:u w:color="000000" w:themeColor="text1"/>
        </w:rPr>
        <w:tab/>
      </w:r>
      <w:r w:rsidRPr="009B00EE">
        <w:rPr>
          <w:color w:val="000000" w:themeColor="text1"/>
          <w:u w:color="000000" w:themeColor="text1"/>
        </w:rPr>
        <w:t xml:space="preserve">The law enforcement officer, local detention facility officer, or local jail officer, as applicable, shall inform the court if any of the information required in subsection (C) is not available at the time of the hearing and the reason the information is not available.  Failure on the part of the law enforcement officer, local detention facility officer, or local jail officer, as applicable, to provide the court with the information required in subsection (C) does not constitute grounds for the postponement or delay of the person’s hearing.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strike/>
          <w:color w:val="000000" w:themeColor="text1"/>
          <w:u w:color="000000" w:themeColor="text1"/>
        </w:rPr>
        <w:t>(E)</w:t>
      </w:r>
      <w:r w:rsidRPr="009B00EE">
        <w:rPr>
          <w:color w:val="000000" w:themeColor="text1"/>
          <w:u w:val="single" w:color="000000" w:themeColor="text1"/>
        </w:rPr>
        <w:t>(F)</w:t>
      </w:r>
      <w:r>
        <w:rPr>
          <w:color w:val="000000" w:themeColor="text1"/>
          <w:u w:color="000000" w:themeColor="text1"/>
        </w:rPr>
        <w:tab/>
      </w:r>
      <w:r w:rsidRPr="009B00EE">
        <w:rPr>
          <w:color w:val="000000" w:themeColor="text1"/>
          <w:u w:color="000000" w:themeColor="text1"/>
        </w:rPr>
        <w:t>A court hearing this matter has contempt powers to enforce these provisions.”</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00EE">
        <w:rPr>
          <w:color w:val="000000" w:themeColor="text1"/>
          <w:u w:color="000000" w:themeColor="text1"/>
        </w:rPr>
        <w:t>SECTION</w:t>
      </w:r>
      <w:r w:rsidRPr="009B00EE">
        <w:rPr>
          <w:color w:val="000000" w:themeColor="text1"/>
          <w:u w:color="000000" w:themeColor="text1"/>
        </w:rPr>
        <w:tab/>
        <w:t>2.</w:t>
      </w:r>
      <w:r w:rsidRPr="009B00EE">
        <w:rPr>
          <w:color w:val="000000" w:themeColor="text1"/>
          <w:u w:color="000000" w:themeColor="text1"/>
        </w:rPr>
        <w:tab/>
        <w:t>This act takes effect upon approval by the Governor.</w:t>
      </w:r>
    </w:p>
    <w:p w:rsidR="00593B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3B00" w:rsidRDefault="00593B00" w:rsidP="00FC1CE2">
      <w:pPr>
        <w:suppressAutoHyphens/>
        <w:jc w:val="both"/>
        <w:rPr>
          <w:rFonts w:eastAsia="Times New Roman"/>
        </w:rPr>
      </w:pPr>
    </w:p>
    <w:sectPr w:rsidR="00593B00" w:rsidSect="00FC1C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F49" w:rsidRDefault="00411F49" w:rsidP="00522CE0">
      <w:r>
        <w:separator/>
      </w:r>
    </w:p>
  </w:endnote>
  <w:endnote w:type="continuationSeparator" w:id="0">
    <w:p w:rsidR="00411F49" w:rsidRDefault="00411F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A5712D-000F-4A92-8D09-49D5DBA0A54C}"/>
    <w:embedBold r:id="rId2" w:fontKey="{ACCD015D-6FF5-4AAD-A9A5-ED26E87FF1C9}"/>
  </w:font>
  <w:font w:name="Calibri">
    <w:panose1 w:val="020F0502020204030204"/>
    <w:charset w:val="00"/>
    <w:family w:val="swiss"/>
    <w:pitch w:val="variable"/>
    <w:sig w:usb0="E10002FF" w:usb1="4000ACFF" w:usb2="00000009" w:usb3="00000000" w:csb0="0000019F" w:csb1="00000000"/>
    <w:embedRegular r:id="rId3" w:fontKey="{17DC78DC-042E-4A3C-A28D-51B511668B21}"/>
    <w:embedBold r:id="rId4" w:fontKey="{654A4BBD-DE84-4218-ABAA-2CA5695D89E5}"/>
  </w:font>
  <w:font w:name="Cambria">
    <w:panose1 w:val="02040503050406030204"/>
    <w:charset w:val="00"/>
    <w:family w:val="roman"/>
    <w:pitch w:val="variable"/>
    <w:sig w:usb0="E00002FF" w:usb1="400004FF" w:usb2="00000000" w:usb3="00000000" w:csb0="0000019F" w:csb1="00000000"/>
    <w:embedRegular r:id="rId5" w:fontKey="{E169C190-59D0-4FAD-9A51-B3F343B656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CE2" w:rsidRPr="00593B00" w:rsidRDefault="00FC1CE2" w:rsidP="00593B00">
    <w:pPr>
      <w:pStyle w:val="Footer"/>
      <w:tabs>
        <w:tab w:val="clear" w:pos="4680"/>
        <w:tab w:val="clear" w:pos="9360"/>
        <w:tab w:val="center" w:pos="2995"/>
      </w:tabs>
      <w:spacing w:before="120"/>
    </w:pPr>
    <w:r>
      <w:t>[1060]</w:t>
    </w:r>
    <w:r>
      <w:tab/>
    </w:r>
    <w:r w:rsidR="00A014BC">
      <w:fldChar w:fldCharType="begin"/>
    </w:r>
    <w:r w:rsidR="00A014BC">
      <w:instrText xml:space="preserve"> PAGE  \* MERGEFORMAT </w:instrText>
    </w:r>
    <w:r w:rsidR="00A014BC">
      <w:fldChar w:fldCharType="separate"/>
    </w:r>
    <w:r w:rsidR="00A014BC">
      <w:rPr>
        <w:noProof/>
      </w:rPr>
      <w:t>1</w:t>
    </w:r>
    <w:r w:rsidR="00A014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F49" w:rsidRDefault="00411F49" w:rsidP="00522CE0">
      <w:r>
        <w:separator/>
      </w:r>
    </w:p>
  </w:footnote>
  <w:footnote w:type="continuationSeparator" w:id="0">
    <w:p w:rsidR="00411F49" w:rsidRDefault="00411F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2"/>
  </w:compat>
  <w:docVars>
    <w:docVar w:name="clipname" w:val="JUD0009.JJG"/>
    <w:docVar w:name="CoverAttorneyInitials" w:val="JJG"/>
    <w:docVar w:name="CoverAttorneyLastName" w:val="Gentry"/>
    <w:docVar w:name="CoverBillType" w:val="b"/>
    <w:docVar w:name="DraftFileName" w:val="JUD0009.JJG.DOCX"/>
    <w:docVar w:name="DraftStenoName" w:val="Craft"/>
    <w:docVar w:name="dvBillNumber" w:val="1060"/>
    <w:docVar w:name="dvBillNumberPrefix" w:val="S. "/>
    <w:docVar w:name="dvOriginalBody" w:val="Senate"/>
    <w:docVar w:name="fulldraftpath" w:val="L:\S-JUD\BILLS\Campsen\JUD0009.JJG.DOCX"/>
    <w:docVar w:name="NameofBody" w:val="S"/>
    <w:docVar w:name="SenatorFolderName" w:val="Campsen"/>
    <w:docVar w:name="VGROUP2" w:val="S-JUD"/>
  </w:docVars>
  <w:rsids>
    <w:rsidRoot w:val="003A0D77"/>
    <w:rsid w:val="000141EB"/>
    <w:rsid w:val="00042AC1"/>
    <w:rsid w:val="00046516"/>
    <w:rsid w:val="000A4D08"/>
    <w:rsid w:val="000A6988"/>
    <w:rsid w:val="000B0720"/>
    <w:rsid w:val="000B5EAF"/>
    <w:rsid w:val="000E473B"/>
    <w:rsid w:val="000F002B"/>
    <w:rsid w:val="000F0791"/>
    <w:rsid w:val="000F2543"/>
    <w:rsid w:val="00107C3D"/>
    <w:rsid w:val="00126995"/>
    <w:rsid w:val="00143B13"/>
    <w:rsid w:val="0016543B"/>
    <w:rsid w:val="00170561"/>
    <w:rsid w:val="00186AC9"/>
    <w:rsid w:val="00190F47"/>
    <w:rsid w:val="00197DF1"/>
    <w:rsid w:val="001B3DD9"/>
    <w:rsid w:val="001C23C9"/>
    <w:rsid w:val="001D2B21"/>
    <w:rsid w:val="001D3BAC"/>
    <w:rsid w:val="001D4BAA"/>
    <w:rsid w:val="00206D3D"/>
    <w:rsid w:val="0024519E"/>
    <w:rsid w:val="00245C4E"/>
    <w:rsid w:val="002727B1"/>
    <w:rsid w:val="002C0432"/>
    <w:rsid w:val="002C5896"/>
    <w:rsid w:val="00307C2B"/>
    <w:rsid w:val="0031409E"/>
    <w:rsid w:val="00333DF1"/>
    <w:rsid w:val="0033541C"/>
    <w:rsid w:val="00352C3B"/>
    <w:rsid w:val="00364389"/>
    <w:rsid w:val="003A0A7A"/>
    <w:rsid w:val="003A0D77"/>
    <w:rsid w:val="003D6A5D"/>
    <w:rsid w:val="003D6E2B"/>
    <w:rsid w:val="003E7597"/>
    <w:rsid w:val="00411F49"/>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3B00"/>
    <w:rsid w:val="005A5017"/>
    <w:rsid w:val="005A648C"/>
    <w:rsid w:val="005D24FB"/>
    <w:rsid w:val="005F15E4"/>
    <w:rsid w:val="00606D23"/>
    <w:rsid w:val="00641A16"/>
    <w:rsid w:val="006431BA"/>
    <w:rsid w:val="00657F98"/>
    <w:rsid w:val="00676BFE"/>
    <w:rsid w:val="006B4B3C"/>
    <w:rsid w:val="006C44D1"/>
    <w:rsid w:val="006C74EA"/>
    <w:rsid w:val="007025D0"/>
    <w:rsid w:val="00720D40"/>
    <w:rsid w:val="007318D4"/>
    <w:rsid w:val="00746551"/>
    <w:rsid w:val="00751723"/>
    <w:rsid w:val="007635A0"/>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4C80"/>
    <w:rsid w:val="009C118A"/>
    <w:rsid w:val="00A014BC"/>
    <w:rsid w:val="00A02011"/>
    <w:rsid w:val="00A35165"/>
    <w:rsid w:val="00A4011E"/>
    <w:rsid w:val="00A50977"/>
    <w:rsid w:val="00A86015"/>
    <w:rsid w:val="00AB6192"/>
    <w:rsid w:val="00AE59C8"/>
    <w:rsid w:val="00B030B6"/>
    <w:rsid w:val="00B10098"/>
    <w:rsid w:val="00B10E10"/>
    <w:rsid w:val="00B35389"/>
    <w:rsid w:val="00B450FF"/>
    <w:rsid w:val="00B945C5"/>
    <w:rsid w:val="00BA20EA"/>
    <w:rsid w:val="00BC0A56"/>
    <w:rsid w:val="00C23348"/>
    <w:rsid w:val="00C44C4B"/>
    <w:rsid w:val="00C6454A"/>
    <w:rsid w:val="00C74052"/>
    <w:rsid w:val="00C9374F"/>
    <w:rsid w:val="00CB187A"/>
    <w:rsid w:val="00CD7C71"/>
    <w:rsid w:val="00D1088B"/>
    <w:rsid w:val="00D156D2"/>
    <w:rsid w:val="00D77EC0"/>
    <w:rsid w:val="00D86943"/>
    <w:rsid w:val="00DA47B9"/>
    <w:rsid w:val="00E677A1"/>
    <w:rsid w:val="00E84A5E"/>
    <w:rsid w:val="00E91E2F"/>
    <w:rsid w:val="00EA3546"/>
    <w:rsid w:val="00EB1AAC"/>
    <w:rsid w:val="00EB47AE"/>
    <w:rsid w:val="00EC19F5"/>
    <w:rsid w:val="00EC34E1"/>
    <w:rsid w:val="00ED0AE1"/>
    <w:rsid w:val="00F0234A"/>
    <w:rsid w:val="00F232D6"/>
    <w:rsid w:val="00F25146"/>
    <w:rsid w:val="00F52959"/>
    <w:rsid w:val="00F532D4"/>
    <w:rsid w:val="00F55884"/>
    <w:rsid w:val="00FB5399"/>
    <w:rsid w:val="00FC0450"/>
    <w:rsid w:val="00FC0D36"/>
    <w:rsid w:val="00FC1CE2"/>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15:docId w15:val="{EBAABF24-1A5B-4F22-AA9A-24539DD1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C1C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60_20111214.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666</Words>
  <Characters>3531</Characters>
  <Application>Microsoft Office Word</Application>
  <DocSecurity>4</DocSecurity>
  <Lines>120</Lines>
  <Paragraphs>47</Paragraphs>
  <ScaleCrop>false</ScaleCrop>
  <Company> </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1060: Matters considered to determine release on bail - South Carolina Legislature Online</dc:title>
  <dc:subject/>
  <dc:creator>SusanCraft</dc:creator>
  <cp:keywords/>
  <dc:description/>
  <cp:lastModifiedBy>N Cumfer</cp:lastModifiedBy>
  <cp:revision>2</cp:revision>
  <dcterms:created xsi:type="dcterms:W3CDTF">2014-11-21T21:07:00Z</dcterms:created>
  <dcterms:modified xsi:type="dcterms:W3CDTF">2014-11-21T21:07:00Z</dcterms:modified>
</cp:coreProperties>
</file>