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0A" w:rsidRDefault="00AA5E0A" w:rsidP="00AA5E0A">
      <w:pPr>
        <w:widowControl w:val="0"/>
        <w:jc w:val="center"/>
      </w:pPr>
      <w:bookmarkStart w:id="0" w:name="_GoBack"/>
      <w:bookmarkEnd w:id="0"/>
      <w:r w:rsidRPr="00AA5E0A">
        <w:rPr>
          <w:b/>
        </w:rPr>
        <w:t>South Carolina General Assembly</w:t>
      </w:r>
    </w:p>
    <w:p w:rsidR="00AA5E0A" w:rsidRDefault="00AA5E0A" w:rsidP="00AA5E0A">
      <w:pPr>
        <w:widowControl w:val="0"/>
        <w:jc w:val="center"/>
      </w:pPr>
      <w:r>
        <w:t>119th Session, 2011-2012</w:t>
      </w:r>
    </w:p>
    <w:p w:rsidR="00AA5E0A" w:rsidRDefault="00AA5E0A" w:rsidP="00AA5E0A">
      <w:pPr>
        <w:widowControl w:val="0"/>
      </w:pPr>
    </w:p>
    <w:p w:rsidR="00AA5E0A" w:rsidRDefault="00AA5E0A" w:rsidP="00AA5E0A">
      <w:pPr>
        <w:widowControl w:val="0"/>
        <w:rPr>
          <w:b/>
        </w:rPr>
      </w:pPr>
      <w:r w:rsidRPr="00AA5E0A">
        <w:rPr>
          <w:b/>
        </w:rPr>
        <w:t>S.</w:t>
      </w:r>
      <w:r>
        <w:rPr>
          <w:b/>
        </w:rPr>
        <w:t xml:space="preserve"> </w:t>
      </w:r>
      <w:r w:rsidRPr="00AA5E0A">
        <w:rPr>
          <w:b/>
        </w:rPr>
        <w:t>1065</w:t>
      </w:r>
    </w:p>
    <w:p w:rsidR="00AA5E0A" w:rsidRDefault="00AA5E0A" w:rsidP="00AA5E0A">
      <w:pPr>
        <w:widowControl w:val="0"/>
        <w:rPr>
          <w:b/>
        </w:rPr>
      </w:pPr>
    </w:p>
    <w:p w:rsidR="00AA5E0A" w:rsidRDefault="00AA5E0A" w:rsidP="00AA5E0A">
      <w:pPr>
        <w:widowControl w:val="0"/>
      </w:pPr>
      <w:r w:rsidRPr="00AA5E0A">
        <w:rPr>
          <w:b/>
        </w:rPr>
        <w:t>STATUS INFORMATION</w:t>
      </w:r>
    </w:p>
    <w:p w:rsidR="00AA5E0A" w:rsidRDefault="00AA5E0A" w:rsidP="00AA5E0A">
      <w:pPr>
        <w:widowControl w:val="0"/>
      </w:pPr>
    </w:p>
    <w:p w:rsidR="00AA5E0A" w:rsidRDefault="00AA5E0A" w:rsidP="00AA5E0A">
      <w:pPr>
        <w:widowControl w:val="0"/>
      </w:pPr>
      <w:r>
        <w:t>General Bill</w:t>
      </w:r>
    </w:p>
    <w:p w:rsidR="00AA5E0A" w:rsidRDefault="00981E56" w:rsidP="00AA5E0A">
      <w:pPr>
        <w:widowControl w:val="0"/>
      </w:pPr>
      <w:r>
        <w:t>Sponsors: Senators L. Martin, Hayes and Fair</w:t>
      </w:r>
    </w:p>
    <w:p w:rsidR="00AA5E0A" w:rsidRDefault="00AA5E0A" w:rsidP="00AA5E0A">
      <w:pPr>
        <w:widowControl w:val="0"/>
      </w:pPr>
      <w:r>
        <w:t>Document Path: l:\s-rules\drafting\lam\018vide.ec.lam.docx</w:t>
      </w:r>
    </w:p>
    <w:p w:rsidR="00F052FD" w:rsidRDefault="00F052FD" w:rsidP="00AA5E0A">
      <w:pPr>
        <w:widowControl w:val="0"/>
      </w:pPr>
      <w:r>
        <w:t>Companion/Similar bill(s): 4675</w:t>
      </w:r>
    </w:p>
    <w:p w:rsidR="00AA5E0A" w:rsidRDefault="00AA5E0A" w:rsidP="00AA5E0A">
      <w:pPr>
        <w:widowControl w:val="0"/>
      </w:pPr>
    </w:p>
    <w:p w:rsidR="00967532" w:rsidRDefault="00967532" w:rsidP="00AA5E0A">
      <w:pPr>
        <w:widowControl w:val="0"/>
      </w:pPr>
      <w:r>
        <w:t>Introduced in the Senate on January 10, 2012</w:t>
      </w:r>
    </w:p>
    <w:p w:rsidR="00967532" w:rsidRDefault="00967532" w:rsidP="00AA5E0A">
      <w:pPr>
        <w:widowControl w:val="0"/>
      </w:pPr>
      <w:r>
        <w:t>Currently residing in the Senate</w:t>
      </w:r>
    </w:p>
    <w:p w:rsidR="00967532" w:rsidRDefault="00967532" w:rsidP="00AA5E0A">
      <w:pPr>
        <w:widowControl w:val="0"/>
      </w:pPr>
    </w:p>
    <w:p w:rsidR="00AA5E0A" w:rsidRDefault="00AA5E0A" w:rsidP="00AA5E0A">
      <w:pPr>
        <w:widowControl w:val="0"/>
      </w:pPr>
      <w:r>
        <w:t xml:space="preserve">Summary: </w:t>
      </w:r>
      <w:r w:rsidR="00344D14">
        <w:t>Bingo and raffles</w:t>
      </w:r>
    </w:p>
    <w:p w:rsidR="00AA5E0A" w:rsidRDefault="00AA5E0A" w:rsidP="00AA5E0A">
      <w:pPr>
        <w:widowControl w:val="0"/>
      </w:pPr>
    </w:p>
    <w:p w:rsidR="00AA5E0A" w:rsidRDefault="00AA5E0A" w:rsidP="00AA5E0A">
      <w:pPr>
        <w:widowControl w:val="0"/>
      </w:pPr>
    </w:p>
    <w:p w:rsidR="00AA5E0A" w:rsidRDefault="00AA5E0A" w:rsidP="00AA5E0A">
      <w:pPr>
        <w:widowControl w:val="0"/>
        <w:tabs>
          <w:tab w:val="center" w:pos="590"/>
          <w:tab w:val="center" w:pos="1440"/>
          <w:tab w:val="left" w:pos="1872"/>
          <w:tab w:val="left" w:pos="9187"/>
        </w:tabs>
      </w:pPr>
      <w:r w:rsidRPr="00AA5E0A">
        <w:rPr>
          <w:b/>
        </w:rPr>
        <w:t>HISTORY OF LEGISLATIVE ACTIONS</w:t>
      </w:r>
    </w:p>
    <w:p w:rsidR="00AA5E0A" w:rsidRDefault="00AA5E0A" w:rsidP="00AA5E0A">
      <w:pPr>
        <w:widowControl w:val="0"/>
        <w:tabs>
          <w:tab w:val="center" w:pos="590"/>
          <w:tab w:val="center" w:pos="1440"/>
          <w:tab w:val="left" w:pos="1872"/>
          <w:tab w:val="left" w:pos="9187"/>
        </w:tabs>
      </w:pPr>
    </w:p>
    <w:p w:rsidR="00AA5E0A" w:rsidRPr="00AA5E0A" w:rsidRDefault="00AA5E0A" w:rsidP="00AA5E0A">
      <w:pPr>
        <w:widowControl w:val="0"/>
        <w:tabs>
          <w:tab w:val="center" w:pos="590"/>
          <w:tab w:val="center" w:pos="1440"/>
          <w:tab w:val="left" w:pos="1872"/>
          <w:tab w:val="left" w:pos="9187"/>
        </w:tabs>
      </w:pPr>
      <w:r w:rsidRPr="00AA5E0A">
        <w:rPr>
          <w:u w:val="single"/>
        </w:rPr>
        <w:tab/>
        <w:t>Date</w:t>
      </w:r>
      <w:r w:rsidRPr="00AA5E0A">
        <w:rPr>
          <w:u w:val="single"/>
        </w:rPr>
        <w:tab/>
        <w:t>Body</w:t>
      </w:r>
      <w:r w:rsidRPr="00AA5E0A">
        <w:rPr>
          <w:u w:val="single"/>
        </w:rPr>
        <w:tab/>
        <w:t>Action Description with journal page number</w:t>
      </w:r>
      <w:r w:rsidRPr="00AA5E0A">
        <w:rPr>
          <w:u w:val="single"/>
        </w:rPr>
        <w:tab/>
      </w:r>
    </w:p>
    <w:p w:rsidR="004F1504" w:rsidRDefault="004F1504" w:rsidP="004F1504">
      <w:pPr>
        <w:widowControl w:val="0"/>
        <w:tabs>
          <w:tab w:val="right" w:pos="1008"/>
          <w:tab w:val="left" w:pos="1152"/>
          <w:tab w:val="left" w:pos="1872"/>
          <w:tab w:val="left" w:pos="9187"/>
        </w:tabs>
        <w:ind w:left="2088" w:hanging="2088"/>
      </w:pPr>
      <w:r>
        <w:tab/>
        <w:t>1/10/2012</w:t>
      </w:r>
      <w:r>
        <w:tab/>
        <w:t>Senate</w:t>
      </w:r>
      <w:r>
        <w:tab/>
      </w:r>
      <w:r w:rsidRPr="005E7659">
        <w:t>Introduced and read first time (</w:t>
      </w:r>
      <w:hyperlink r:id="rId6" w:history="1">
        <w:r w:rsidRPr="005E7659">
          <w:rPr>
            <w:rStyle w:val="Hyperlink"/>
          </w:rPr>
          <w:t>Senate Journal</w:t>
        </w:r>
        <w:r w:rsidRPr="005E7659">
          <w:rPr>
            <w:rStyle w:val="Hyperlink"/>
          </w:rPr>
          <w:noBreakHyphen/>
          <w:t>page 35</w:t>
        </w:r>
      </w:hyperlink>
      <w:r w:rsidRPr="005E7659">
        <w:t>)</w:t>
      </w:r>
    </w:p>
    <w:p w:rsidR="004F1504" w:rsidRDefault="004F1504" w:rsidP="004F1504">
      <w:pPr>
        <w:widowControl w:val="0"/>
        <w:tabs>
          <w:tab w:val="right" w:pos="1008"/>
          <w:tab w:val="left" w:pos="1152"/>
          <w:tab w:val="left" w:pos="1872"/>
          <w:tab w:val="left" w:pos="9187"/>
        </w:tabs>
        <w:ind w:left="2088" w:hanging="2088"/>
      </w:pPr>
      <w:r>
        <w:tab/>
        <w:t>1/10/2012</w:t>
      </w:r>
      <w:r>
        <w:tab/>
        <w:t>Senate</w:t>
      </w:r>
      <w:r>
        <w:tab/>
      </w:r>
      <w:r w:rsidRPr="005E7659">
        <w:t>Ref</w:t>
      </w:r>
      <w:r>
        <w:t xml:space="preserve">erred to Committee on </w:t>
      </w:r>
      <w:r w:rsidRPr="005E7659">
        <w:rPr>
          <w:b/>
        </w:rPr>
        <w:t>Judiciary</w:t>
      </w:r>
      <w:r>
        <w:t xml:space="preserve"> </w:t>
      </w:r>
      <w:r w:rsidRPr="005E7659">
        <w:t>(</w:t>
      </w:r>
      <w:hyperlink r:id="rId7" w:history="1">
        <w:r w:rsidRPr="005E7659">
          <w:rPr>
            <w:rStyle w:val="Hyperlink"/>
          </w:rPr>
          <w:t>Senate Journal</w:t>
        </w:r>
        <w:r w:rsidRPr="005E7659">
          <w:rPr>
            <w:rStyle w:val="Hyperlink"/>
          </w:rPr>
          <w:noBreakHyphen/>
          <w:t>page 35</w:t>
        </w:r>
      </w:hyperlink>
      <w:r w:rsidRPr="005E7659">
        <w:t>)</w:t>
      </w:r>
    </w:p>
    <w:p w:rsidR="004F1504" w:rsidRDefault="004F1504" w:rsidP="004F1504">
      <w:pPr>
        <w:widowControl w:val="0"/>
        <w:tabs>
          <w:tab w:val="right" w:pos="1008"/>
          <w:tab w:val="left" w:pos="1152"/>
          <w:tab w:val="left" w:pos="1872"/>
          <w:tab w:val="left" w:pos="9187"/>
        </w:tabs>
        <w:ind w:left="2088" w:hanging="2088"/>
      </w:pPr>
      <w:r>
        <w:tab/>
        <w:t>1/17/2012</w:t>
      </w:r>
      <w:r>
        <w:tab/>
        <w:t>Senate</w:t>
      </w:r>
      <w:r>
        <w:tab/>
      </w:r>
      <w:r w:rsidRPr="005E7659">
        <w:t>Referred to Subcommittee: Cleary (ch), Hutto, Bright</w:t>
      </w:r>
    </w:p>
    <w:p w:rsidR="004F1504" w:rsidRDefault="004F1504" w:rsidP="004F1504">
      <w:pPr>
        <w:widowControl w:val="0"/>
        <w:tabs>
          <w:tab w:val="right" w:pos="1008"/>
          <w:tab w:val="left" w:pos="1152"/>
          <w:tab w:val="left" w:pos="1872"/>
          <w:tab w:val="left" w:pos="9187"/>
        </w:tabs>
        <w:ind w:left="2088" w:hanging="2088"/>
      </w:pPr>
      <w:r>
        <w:tab/>
        <w:t>3/21/2012</w:t>
      </w:r>
      <w:r>
        <w:tab/>
        <w:t>Senate</w:t>
      </w:r>
      <w:r>
        <w:tab/>
      </w:r>
      <w:r w:rsidRPr="005E7659">
        <w:t xml:space="preserve">Committee report: </w:t>
      </w:r>
      <w:r>
        <w:t xml:space="preserve">Majority favorable with amend., minority unfavorable </w:t>
      </w:r>
      <w:r w:rsidRPr="005E7659">
        <w:rPr>
          <w:b/>
        </w:rPr>
        <w:t>Judiciary</w:t>
      </w:r>
      <w:r>
        <w:t xml:space="preserve"> </w:t>
      </w:r>
      <w:r w:rsidRPr="005E7659">
        <w:t>(</w:t>
      </w:r>
      <w:hyperlink r:id="rId8" w:history="1">
        <w:r w:rsidRPr="005E7659">
          <w:rPr>
            <w:rStyle w:val="Hyperlink"/>
          </w:rPr>
          <w:t>Senate Journal</w:t>
        </w:r>
        <w:r w:rsidRPr="005E7659">
          <w:rPr>
            <w:rStyle w:val="Hyperlink"/>
          </w:rPr>
          <w:noBreakHyphen/>
          <w:t>page 14</w:t>
        </w:r>
      </w:hyperlink>
      <w:r w:rsidRPr="005E7659">
        <w:t>)</w:t>
      </w:r>
    </w:p>
    <w:p w:rsidR="004F1504" w:rsidRDefault="004F1504" w:rsidP="004F1504">
      <w:pPr>
        <w:widowControl w:val="0"/>
        <w:tabs>
          <w:tab w:val="right" w:pos="1008"/>
          <w:tab w:val="left" w:pos="1152"/>
          <w:tab w:val="left" w:pos="1872"/>
          <w:tab w:val="left" w:pos="9187"/>
        </w:tabs>
        <w:ind w:left="2088" w:hanging="2088"/>
      </w:pPr>
    </w:p>
    <w:p w:rsidR="00AA5E0A" w:rsidRPr="00AA5E0A" w:rsidRDefault="00AA5E0A" w:rsidP="00AA5E0A">
      <w:pPr>
        <w:widowControl w:val="0"/>
        <w:tabs>
          <w:tab w:val="right" w:pos="1008"/>
          <w:tab w:val="left" w:pos="1152"/>
          <w:tab w:val="left" w:pos="1872"/>
          <w:tab w:val="left" w:pos="9187"/>
        </w:tabs>
        <w:ind w:left="2088" w:hanging="2088"/>
      </w:pPr>
    </w:p>
    <w:p w:rsidR="00AA5E0A" w:rsidRDefault="00AA5E0A" w:rsidP="00AA5E0A">
      <w:pPr>
        <w:widowControl w:val="0"/>
      </w:pPr>
      <w:r w:rsidRPr="00AA5E0A">
        <w:rPr>
          <w:b/>
        </w:rPr>
        <w:t>VERSIONS OF THIS BILL</w:t>
      </w:r>
    </w:p>
    <w:p w:rsidR="00AA5E0A" w:rsidRDefault="00AA5E0A" w:rsidP="00AA5E0A">
      <w:pPr>
        <w:widowControl w:val="0"/>
      </w:pPr>
    </w:p>
    <w:p w:rsidR="00AA5E0A" w:rsidRDefault="004339FF" w:rsidP="00AA5E0A">
      <w:pPr>
        <w:widowControl w:val="0"/>
      </w:pPr>
      <w:hyperlink r:id="rId9" w:history="1">
        <w:r w:rsidR="00AA5E0A">
          <w:rPr>
            <w:rStyle w:val="Hyperlink"/>
          </w:rPr>
          <w:t>1/10/2012</w:t>
        </w:r>
      </w:hyperlink>
    </w:p>
    <w:p w:rsidR="00FA3204" w:rsidRDefault="004339FF" w:rsidP="00AA5E0A">
      <w:hyperlink r:id="rId10" w:history="1">
        <w:r w:rsidR="00FA3204" w:rsidRPr="00FA3204">
          <w:rPr>
            <w:rStyle w:val="Hyperlink"/>
          </w:rPr>
          <w:t>3/21/2012</w:t>
        </w:r>
      </w:hyperlink>
    </w:p>
    <w:p w:rsidR="00AA5E0A" w:rsidRDefault="00AA5E0A" w:rsidP="00AA5E0A"/>
    <w:p w:rsidR="00AA5E0A" w:rsidRDefault="00AA5E0A" w:rsidP="00AA5E0A">
      <w:pPr>
        <w:sectPr w:rsidR="00AA5E0A" w:rsidSect="00AA5E0A">
          <w:pgSz w:w="12240" w:h="15840" w:code="1"/>
          <w:pgMar w:top="1080" w:right="1440" w:bottom="1080" w:left="1440" w:header="720" w:footer="720" w:gutter="0"/>
          <w:cols w:space="720"/>
          <w:noEndnote/>
          <w:docGrid w:linePitch="360"/>
        </w:sectPr>
      </w:pP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A3204" w:rsidRPr="006D4866"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6D4866" w:rsidRDefault="00FA3204" w:rsidP="006D4866">
      <w:pPr>
        <w:tabs>
          <w:tab w:val="right" w:pos="5933"/>
        </w:tabs>
        <w:suppressAutoHyphens/>
        <w:jc w:val="both"/>
        <w:rPr>
          <w:rFonts w:eastAsia="Times New Roman"/>
        </w:rPr>
      </w:pPr>
      <w:r>
        <w:rPr>
          <w:rFonts w:eastAsia="Times New Roman"/>
        </w:rPr>
        <w:tab/>
      </w:r>
      <w:r>
        <w:rPr>
          <w:rFonts w:eastAsia="Times New Roman"/>
          <w:b/>
          <w:sz w:val="36"/>
        </w:rPr>
        <w:t>S. 1065</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Hayes and Fair</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A3204" w:rsidRPr="006D4866"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6D4866"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1065) to amend Section 61</w:t>
      </w:r>
      <w:r>
        <w:rPr>
          <w:rFonts w:eastAsia="Times New Roman"/>
        </w:rPr>
        <w:noBreakHyphen/>
        <w:t>2</w:t>
      </w:r>
      <w:r>
        <w:rPr>
          <w:rFonts w:eastAsia="Times New Roman"/>
        </w:rPr>
        <w:noBreakHyphen/>
        <w:t>180 of the 1976 Code, relating to bingo, raffles, and other special events, to clarify that this section does not authorize the, etc., respectfully</w:t>
      </w:r>
    </w:p>
    <w:p w:rsidR="00FA3204" w:rsidRPr="006D4866"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Amend the bill, as and if amended, page 1, lines 25</w:t>
      </w:r>
      <w:r w:rsidRPr="000E2CD5">
        <w:rPr>
          <w:rFonts w:eastAsia="Times New Roman"/>
          <w:snapToGrid w:val="0"/>
          <w:szCs w:val="20"/>
        </w:rPr>
        <w:noBreakHyphen/>
        <w:t>41, and page 2, lines 1</w:t>
      </w:r>
      <w:r w:rsidRPr="000E2CD5">
        <w:rPr>
          <w:rFonts w:eastAsia="Times New Roman"/>
          <w:snapToGrid w:val="0"/>
          <w:szCs w:val="20"/>
        </w:rPr>
        <w:noBreakHyphen/>
        <w:t>14, by striking those lines in their entirety and inserting the following:</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w:t>
      </w:r>
      <w:r w:rsidRPr="000E2CD5">
        <w:rPr>
          <w:rFonts w:eastAsia="Times New Roman"/>
          <w:snapToGrid w:val="0"/>
          <w:szCs w:val="20"/>
        </w:rPr>
        <w:tab/>
        <w:t>SECTION</w:t>
      </w:r>
      <w:r w:rsidRPr="000E2CD5">
        <w:rPr>
          <w:rFonts w:eastAsia="Times New Roman"/>
          <w:snapToGrid w:val="0"/>
          <w:szCs w:val="20"/>
        </w:rPr>
        <w:tab/>
        <w:t>1.</w:t>
      </w:r>
      <w:r w:rsidRPr="000E2CD5">
        <w:rPr>
          <w:rFonts w:eastAsia="Times New Roman"/>
          <w:snapToGrid w:val="0"/>
          <w:szCs w:val="20"/>
        </w:rPr>
        <w:tab/>
        <w:t>Section 61</w:t>
      </w:r>
      <w:r w:rsidRPr="000E2CD5">
        <w:rPr>
          <w:rFonts w:eastAsia="Times New Roman"/>
          <w:snapToGrid w:val="0"/>
          <w:szCs w:val="20"/>
        </w:rPr>
        <w:noBreakHyphen/>
        <w:t>2</w:t>
      </w:r>
      <w:r w:rsidRPr="000E2CD5">
        <w:rPr>
          <w:rFonts w:eastAsia="Times New Roman"/>
          <w:snapToGrid w:val="0"/>
          <w:szCs w:val="20"/>
        </w:rPr>
        <w:noBreakHyphen/>
        <w:t>180 of the 1976 Code is amended to read:</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“Section 61</w:t>
      </w:r>
      <w:r w:rsidRPr="000E2CD5">
        <w:rPr>
          <w:rFonts w:eastAsia="Times New Roman"/>
          <w:snapToGrid w:val="0"/>
          <w:szCs w:val="20"/>
        </w:rPr>
        <w:noBreakHyphen/>
        <w:t>2</w:t>
      </w:r>
      <w:r w:rsidRPr="000E2CD5">
        <w:rPr>
          <w:rFonts w:eastAsia="Times New Roman"/>
          <w:snapToGrid w:val="0"/>
          <w:szCs w:val="20"/>
        </w:rPr>
        <w:noBreakHyphen/>
        <w:t>180.</w:t>
      </w:r>
      <w:r w:rsidRPr="000E2CD5">
        <w:rPr>
          <w:rFonts w:eastAsia="Times New Roman"/>
          <w:snapToGrid w:val="0"/>
          <w:szCs w:val="20"/>
        </w:rPr>
        <w:tab/>
      </w:r>
      <w:r w:rsidRPr="000E2CD5">
        <w:rPr>
          <w:rFonts w:eastAsia="Times New Roman"/>
          <w:strike/>
          <w:snapToGrid w:val="0"/>
          <w:szCs w:val="20"/>
        </w:rPr>
        <w:t>Notwithstanding any other provision of law, a</w:t>
      </w:r>
      <w:r w:rsidRPr="000E2CD5">
        <w:rPr>
          <w:rFonts w:eastAsia="Times New Roman"/>
          <w:snapToGrid w:val="0"/>
          <w:szCs w:val="20"/>
        </w:rPr>
        <w:t xml:space="preserve"> </w:t>
      </w:r>
      <w:r w:rsidRPr="000E2CD5">
        <w:rPr>
          <w:rFonts w:eastAsia="Times New Roman"/>
          <w:snapToGrid w:val="0"/>
          <w:szCs w:val="20"/>
          <w:u w:val="single"/>
        </w:rPr>
        <w:t>A</w:t>
      </w:r>
      <w:r w:rsidRPr="000E2CD5">
        <w:rPr>
          <w:rFonts w:eastAsia="Times New Roman"/>
          <w:snapToGrid w:val="0"/>
          <w:szCs w:val="20"/>
        </w:rPr>
        <w:t xml:space="preserve"> person or organization licensed by the department under this title may hold and advertise special events such as bingo</w:t>
      </w:r>
      <w:r w:rsidRPr="000E2CD5">
        <w:rPr>
          <w:rFonts w:eastAsia="Times New Roman"/>
          <w:strike/>
          <w:snapToGrid w:val="0"/>
          <w:szCs w:val="20"/>
        </w:rPr>
        <w:t>, raffles, and</w:t>
      </w:r>
      <w:r w:rsidRPr="000E2CD5">
        <w:rPr>
          <w:rFonts w:eastAsia="Times New Roman"/>
          <w:snapToGrid w:val="0"/>
          <w:szCs w:val="20"/>
        </w:rPr>
        <w:t xml:space="preserve"> </w:t>
      </w:r>
      <w:r w:rsidRPr="000E2CD5">
        <w:rPr>
          <w:rFonts w:eastAsia="Times New Roman"/>
          <w:snapToGrid w:val="0"/>
          <w:szCs w:val="20"/>
          <w:u w:val="single"/>
        </w:rPr>
        <w:t>or</w:t>
      </w:r>
      <w:r w:rsidRPr="000E2CD5">
        <w:rPr>
          <w:rFonts w:eastAsia="Times New Roman"/>
          <w:snapToGrid w:val="0"/>
          <w:szCs w:val="20"/>
        </w:rPr>
        <w:t xml:space="preserve"> other similar activities intended to raise money for charitable purposes.  This section does not affect the requirements for obtaining a bingo license from the department.  </w:t>
      </w:r>
      <w:r w:rsidRPr="000E2CD5">
        <w:rPr>
          <w:rFonts w:eastAsia="Times New Roman"/>
          <w:snapToGrid w:val="0"/>
          <w:szCs w:val="20"/>
          <w:u w:val="single"/>
        </w:rPr>
        <w:t>A special event or activity that is authorized pursuant to this section is not an exception or limitation to Section 12-21-2710 or other provisions of the South Carolina Code of Laws in which gambling or games of chance are unlawful and prohibited.</w:t>
      </w:r>
      <w:r w:rsidRPr="000E2CD5">
        <w:rPr>
          <w:rFonts w:eastAsia="Times New Roman"/>
          <w:snapToGrid w:val="0"/>
          <w:szCs w:val="20"/>
        </w:rPr>
        <w:t xml:space="preserve">”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E2CD5">
        <w:rPr>
          <w:rFonts w:eastAsia="Times New Roman"/>
          <w:snapToGrid w:val="0"/>
          <w:szCs w:val="20"/>
        </w:rPr>
        <w:t>SECTION</w:t>
      </w:r>
      <w:r w:rsidRPr="000E2CD5">
        <w:rPr>
          <w:rFonts w:eastAsia="Times New Roman"/>
          <w:snapToGrid w:val="0"/>
          <w:szCs w:val="20"/>
        </w:rPr>
        <w:tab/>
        <w:t>2.</w:t>
      </w:r>
      <w:r w:rsidRPr="000E2CD5">
        <w:rPr>
          <w:rFonts w:eastAsia="Times New Roman"/>
          <w:snapToGrid w:val="0"/>
          <w:szCs w:val="20"/>
        </w:rPr>
        <w:tab/>
        <w:t>Section 61</w:t>
      </w:r>
      <w:r w:rsidRPr="000E2CD5">
        <w:rPr>
          <w:rFonts w:eastAsia="Times New Roman"/>
          <w:snapToGrid w:val="0"/>
          <w:szCs w:val="20"/>
        </w:rPr>
        <w:noBreakHyphen/>
        <w:t>4</w:t>
      </w:r>
      <w:r w:rsidRPr="000E2CD5">
        <w:rPr>
          <w:rFonts w:eastAsia="Times New Roman"/>
          <w:snapToGrid w:val="0"/>
          <w:szCs w:val="20"/>
        </w:rPr>
        <w:noBreakHyphen/>
        <w:t>580 of the 1976 Code is amended to read:</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“Section 61</w:t>
      </w:r>
      <w:r w:rsidRPr="000E2CD5">
        <w:rPr>
          <w:rFonts w:eastAsia="Times New Roman"/>
          <w:snapToGrid w:val="0"/>
          <w:szCs w:val="20"/>
        </w:rPr>
        <w:noBreakHyphen/>
        <w:t>4</w:t>
      </w:r>
      <w:r w:rsidRPr="000E2CD5">
        <w:rPr>
          <w:rFonts w:eastAsia="Times New Roman"/>
          <w:snapToGrid w:val="0"/>
          <w:szCs w:val="20"/>
        </w:rPr>
        <w:noBreakHyphen/>
        <w:t>580.</w:t>
      </w:r>
      <w:r w:rsidRPr="000E2CD5">
        <w:rPr>
          <w:rFonts w:eastAsia="Times New Roman"/>
          <w:snapToGrid w:val="0"/>
          <w:szCs w:val="20"/>
        </w:rPr>
        <w:tab/>
        <w:t xml:space="preserve">No holder of a permit authorizing the sale of beer or wine or a servant, agent, or employee of the permittee may knowingly commit any of the following acts upon the licensed premises covered by the holder’s permit: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(1)</w:t>
      </w:r>
      <w:r w:rsidRPr="000E2CD5">
        <w:rPr>
          <w:rFonts w:eastAsia="Times New Roman"/>
          <w:snapToGrid w:val="0"/>
          <w:szCs w:val="20"/>
        </w:rPr>
        <w:tab/>
        <w:t>sell beer or wine to a person under twenty</w:t>
      </w:r>
      <w:r w:rsidRPr="000E2CD5">
        <w:rPr>
          <w:rFonts w:eastAsia="Times New Roman"/>
          <w:snapToGrid w:val="0"/>
          <w:szCs w:val="20"/>
        </w:rPr>
        <w:noBreakHyphen/>
        <w:t xml:space="preserve">one years of age;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(2)</w:t>
      </w:r>
      <w:r w:rsidRPr="000E2CD5">
        <w:rPr>
          <w:rFonts w:eastAsia="Times New Roman"/>
          <w:snapToGrid w:val="0"/>
          <w:szCs w:val="20"/>
        </w:rPr>
        <w:tab/>
        <w:t xml:space="preserve">sell beer or wine to an intoxicated person;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(3)</w:t>
      </w:r>
      <w:r w:rsidRPr="000E2CD5">
        <w:rPr>
          <w:rFonts w:eastAsia="Times New Roman"/>
          <w:snapToGrid w:val="0"/>
          <w:szCs w:val="20"/>
        </w:rPr>
        <w:tab/>
        <w:t xml:space="preserve">permit gambling or games of chance except game promotions including contests, games of chance, or sweepstakes in which the elements of chance and prize are present and which comply with the following: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t>(a)</w:t>
      </w:r>
      <w:r w:rsidRPr="000E2CD5">
        <w:rPr>
          <w:rFonts w:eastAsia="Times New Roman"/>
          <w:snapToGrid w:val="0"/>
          <w:szCs w:val="20"/>
        </w:rPr>
        <w:tab/>
        <w:t xml:space="preserve">the game promotion is conducted or offered in connection with the sale, promotion, or advertisement of a consumer product or service, or to enhance the brand or image of a supplier of consumer products or services;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t>(b)</w:t>
      </w:r>
      <w:r w:rsidRPr="000E2CD5">
        <w:rPr>
          <w:rFonts w:eastAsia="Times New Roman"/>
          <w:snapToGrid w:val="0"/>
          <w:szCs w:val="20"/>
        </w:rPr>
        <w:tab/>
        <w:t xml:space="preserve">no purchase payment, entry fee, or proof of purchase is required as a condition of entering the game promotion or receiving a prize;  and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0E2CD5">
        <w:rPr>
          <w:rFonts w:eastAsia="Times New Roman"/>
          <w:snapToGrid w:val="0"/>
          <w:szCs w:val="20"/>
        </w:rPr>
        <w:tab/>
      </w:r>
      <w:r w:rsidRPr="000E2CD5">
        <w:rPr>
          <w:rFonts w:eastAsia="Times New Roman"/>
          <w:snapToGrid w:val="0"/>
          <w:szCs w:val="20"/>
        </w:rPr>
        <w:tab/>
        <w:t>(c)</w:t>
      </w:r>
      <w:r w:rsidRPr="000E2CD5">
        <w:rPr>
          <w:rFonts w:eastAsia="Times New Roman"/>
          <w:snapToGrid w:val="0"/>
          <w:szCs w:val="20"/>
        </w:rPr>
        <w:tab/>
        <w:t>all materials advertising the game promotion clearly disclose that no purchase or payment is necessary to enter and provide details on the free method of participation</w:t>
      </w:r>
      <w:r w:rsidRPr="000E2CD5">
        <w:rPr>
          <w:rFonts w:eastAsia="Times New Roman"/>
          <w:snapToGrid w:val="0"/>
          <w:szCs w:val="20"/>
          <w:u w:val="single"/>
        </w:rPr>
        <w:t>; and</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r>
      <w:r w:rsidRPr="000E2CD5">
        <w:rPr>
          <w:rFonts w:eastAsia="Times New Roman"/>
          <w:snapToGrid w:val="0"/>
          <w:szCs w:val="20"/>
          <w:u w:val="single"/>
        </w:rPr>
        <w:t>(d)</w:t>
      </w:r>
      <w:r w:rsidRPr="000E2CD5">
        <w:rPr>
          <w:rFonts w:eastAsia="Times New Roman"/>
          <w:snapToGrid w:val="0"/>
          <w:szCs w:val="20"/>
        </w:rPr>
        <w:tab/>
      </w:r>
      <w:r w:rsidRPr="000E2CD5">
        <w:rPr>
          <w:rFonts w:eastAsia="Times New Roman"/>
          <w:snapToGrid w:val="0"/>
          <w:szCs w:val="20"/>
          <w:u w:val="single"/>
        </w:rPr>
        <w:t>this subsection is not an exception or limitation to Section 12</w:t>
      </w:r>
      <w:r w:rsidRPr="000E2CD5">
        <w:rPr>
          <w:rFonts w:eastAsia="Times New Roman"/>
          <w:snapToGrid w:val="0"/>
          <w:szCs w:val="20"/>
          <w:u w:val="single"/>
        </w:rPr>
        <w:noBreakHyphen/>
        <w:t>21</w:t>
      </w:r>
      <w:r w:rsidRPr="000E2CD5">
        <w:rPr>
          <w:rFonts w:eastAsia="Times New Roman"/>
          <w:snapToGrid w:val="0"/>
          <w:szCs w:val="20"/>
          <w:u w:val="single"/>
        </w:rPr>
        <w:noBreakHyphen/>
        <w:t>2710 or other provisions of the South Carolina Code of Laws in which gambling or games of chance are unlawful and prohibited</w:t>
      </w:r>
      <w:r w:rsidRPr="000E2CD5">
        <w:rPr>
          <w:rFonts w:eastAsia="Times New Roman"/>
          <w:snapToGrid w:val="0"/>
          <w:szCs w:val="20"/>
        </w:rPr>
        <w:t xml:space="preserve">.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(4)</w:t>
      </w:r>
      <w:r w:rsidRPr="000E2CD5">
        <w:rPr>
          <w:rFonts w:eastAsia="Times New Roman"/>
          <w:snapToGrid w:val="0"/>
          <w:szCs w:val="20"/>
        </w:rPr>
        <w:tab/>
        <w:t xml:space="preserve">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(5)</w:t>
      </w:r>
      <w:r w:rsidRPr="000E2CD5">
        <w:rPr>
          <w:rFonts w:eastAsia="Times New Roman"/>
          <w:snapToGrid w:val="0"/>
          <w:szCs w:val="20"/>
        </w:rPr>
        <w:tab/>
        <w:t xml:space="preserve">permit any act, the commission of which tends to create a public nuisance or which constitutes a crime under the laws of this State;  or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(6)</w:t>
      </w:r>
      <w:r w:rsidRPr="000E2CD5">
        <w:rPr>
          <w:rFonts w:eastAsia="Times New Roman"/>
          <w:snapToGrid w:val="0"/>
          <w:szCs w:val="20"/>
        </w:rPr>
        <w:tab/>
        <w:t xml:space="preserve">sell, offer for sale, or possess any beverage or alcoholic liquors the sale or possession of which is prohibited on the licensed premises under the law of this State;  or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(7)</w:t>
      </w:r>
      <w:r w:rsidRPr="000E2CD5">
        <w:rPr>
          <w:rFonts w:eastAsia="Times New Roman"/>
          <w:snapToGrid w:val="0"/>
          <w:szCs w:val="20"/>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 violation of any provision of this section is a ground for the revocation or suspension of the holder’s permit.”</w:t>
      </w:r>
      <w:r w:rsidRPr="000E2CD5">
        <w:rPr>
          <w:rFonts w:eastAsia="Times New Roman"/>
          <w:snapToGrid w:val="0"/>
          <w:szCs w:val="20"/>
        </w:rPr>
        <w:tab/>
      </w:r>
      <w:r w:rsidRPr="000E2CD5">
        <w:rPr>
          <w:rFonts w:eastAsia="Times New Roman"/>
          <w:snapToGrid w:val="0"/>
          <w:szCs w:val="20"/>
        </w:rPr>
        <w:tab/>
      </w:r>
      <w:r w:rsidRPr="000E2CD5">
        <w:rPr>
          <w:rFonts w:eastAsia="Times New Roman"/>
          <w:snapToGrid w:val="0"/>
          <w:szCs w:val="20"/>
        </w:rPr>
        <w:tab/>
        <w:t>/</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Renumber sections to conform.</w:t>
      </w:r>
    </w:p>
    <w:p w:rsidR="00FA3204"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Amend title to conform.</w:t>
      </w:r>
    </w:p>
    <w:p w:rsidR="00FA3204" w:rsidRPr="000E2CD5"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A3204" w:rsidRDefault="00FA3204" w:rsidP="006D4866">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A3204" w:rsidRDefault="00FA3204" w:rsidP="006D4866">
      <w:pPr>
        <w:tabs>
          <w:tab w:val="left" w:pos="3024"/>
        </w:tabs>
        <w:suppressAutoHyphens/>
        <w:jc w:val="both"/>
        <w:rPr>
          <w:rFonts w:eastAsia="Times New Roman"/>
        </w:rPr>
      </w:pPr>
      <w:r>
        <w:rPr>
          <w:rFonts w:eastAsia="Times New Roman"/>
        </w:rPr>
        <w:t>LARRY A. MARTIN</w:t>
      </w:r>
      <w:r>
        <w:rPr>
          <w:rFonts w:eastAsia="Times New Roman"/>
        </w:rPr>
        <w:tab/>
        <w:t>ROBERT FORD</w:t>
      </w:r>
    </w:p>
    <w:p w:rsidR="00FA3204" w:rsidRDefault="00FA3204" w:rsidP="006D4866">
      <w:pPr>
        <w:tabs>
          <w:tab w:val="left" w:pos="3024"/>
        </w:tabs>
        <w:suppressAutoHyphens/>
        <w:jc w:val="both"/>
        <w:rPr>
          <w:rFonts w:eastAsia="Times New Roman"/>
        </w:rPr>
      </w:pPr>
      <w:r>
        <w:rPr>
          <w:rFonts w:eastAsia="Times New Roman"/>
        </w:rPr>
        <w:t>For Majority.</w:t>
      </w:r>
      <w:r>
        <w:rPr>
          <w:rFonts w:eastAsia="Times New Roman"/>
        </w:rPr>
        <w:tab/>
        <w:t>For Minority.</w:t>
      </w:r>
    </w:p>
    <w:p w:rsidR="00FA3204" w:rsidRPr="006D4866"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6D4866"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A3204" w:rsidRPr="004706CB"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6CB">
        <w:t>ESTIMATED FISCAL IMPACT ON GENERAL FUND EXPENDITURES:</w:t>
      </w:r>
    </w:p>
    <w:p w:rsidR="00FA3204" w:rsidRPr="004706CB"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4706CB">
        <w:t>$0 (No additional expenditures or savings are expected)</w:t>
      </w:r>
    </w:p>
    <w:p w:rsidR="00FA3204" w:rsidRPr="004706CB"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6CB">
        <w:t>ESTIMATED FISCAL IMPACT ON FEDERAL &amp; OTHER FUND EXPENDITURES:</w:t>
      </w:r>
    </w:p>
    <w:p w:rsidR="00FA3204" w:rsidRPr="004706CB" w:rsidRDefault="00FA3204" w:rsidP="006D486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4706CB">
        <w:t>$0 (No additional expenditures or savings are expected)</w:t>
      </w:r>
      <w:bookmarkStart w:id="3" w:name="c"/>
      <w:bookmarkEnd w:id="3"/>
    </w:p>
    <w:p w:rsidR="00FA3204" w:rsidRPr="004706CB"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706CB">
        <w:rPr>
          <w:b/>
        </w:rPr>
        <w:t>EXPLANATION OF IMPACT:</w:t>
      </w:r>
    </w:p>
    <w:p w:rsidR="00FA3204" w:rsidRPr="004706CB" w:rsidRDefault="00FA3204"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r>
      <w:r w:rsidRPr="004706CB">
        <w:t xml:space="preserve">The Department of Revenue indicates there is no fiscal impact to the </w:t>
      </w:r>
      <w:r>
        <w:t>d</w:t>
      </w:r>
      <w:r w:rsidRPr="004706CB">
        <w:t xml:space="preserve">epartment with the adoption of this </w:t>
      </w:r>
      <w:r>
        <w:t>b</w:t>
      </w:r>
      <w:r w:rsidRPr="004706CB">
        <w:t xml:space="preserve">ill.   </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Default="00FA3204" w:rsidP="006D4866">
      <w:pPr>
        <w:tabs>
          <w:tab w:val="left" w:pos="3024"/>
        </w:tabs>
        <w:suppressAutoHyphens/>
        <w:jc w:val="both"/>
        <w:rPr>
          <w:rFonts w:eastAsia="Times New Roman"/>
        </w:rPr>
      </w:pPr>
      <w:r>
        <w:rPr>
          <w:rFonts w:eastAsia="Times New Roman"/>
        </w:rPr>
        <w:tab/>
      </w:r>
      <w:r>
        <w:rPr>
          <w:rFonts w:eastAsia="Times New Roman"/>
          <w:i/>
        </w:rPr>
        <w:t>Approved By:</w:t>
      </w:r>
    </w:p>
    <w:p w:rsidR="00FA3204" w:rsidRDefault="00FA3204" w:rsidP="006D4866">
      <w:pPr>
        <w:tabs>
          <w:tab w:val="left" w:pos="3024"/>
        </w:tabs>
        <w:suppressAutoHyphens/>
        <w:jc w:val="both"/>
        <w:rPr>
          <w:rFonts w:eastAsia="Times New Roman"/>
        </w:rPr>
      </w:pPr>
      <w:r>
        <w:rPr>
          <w:rFonts w:eastAsia="Times New Roman"/>
        </w:rPr>
        <w:tab/>
        <w:t>Brenda Hart</w:t>
      </w:r>
    </w:p>
    <w:p w:rsidR="00FA3204" w:rsidRPr="006D4866" w:rsidRDefault="00FA3204" w:rsidP="006D4866">
      <w:pPr>
        <w:tabs>
          <w:tab w:val="left" w:pos="3024"/>
        </w:tabs>
        <w:suppressAutoHyphens/>
        <w:jc w:val="both"/>
        <w:rPr>
          <w:rFonts w:eastAsia="Times New Roman"/>
        </w:rPr>
      </w:pPr>
      <w:r>
        <w:rPr>
          <w:rFonts w:eastAsia="Times New Roman"/>
        </w:rPr>
        <w:tab/>
        <w:t>Office of State Budget</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3204" w:rsidSect="006D486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8F023B" w:rsidRDefault="00FA3204" w:rsidP="00752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204" w:rsidRPr="00522CE0"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61</w:t>
      </w:r>
      <w:r>
        <w:rPr>
          <w:rFonts w:eastAsia="Times New Roman"/>
        </w:rPr>
        <w:noBreakHyphen/>
        <w:t>2</w:t>
      </w:r>
      <w:r>
        <w:rPr>
          <w:rFonts w:eastAsia="Times New Roman"/>
        </w:rPr>
        <w:noBreakHyphen/>
        <w:t>180 OF THE 1976 CODE, RELATING TO BINGO, RAFFLES, AND OTHER SPECIAL EVENTS, TO CLARIFY THAT THIS SECTION DOES NOT AUTHORIZE THE USE OF ANY DEVICE PROHIBITED BY SECTION 12</w:t>
      </w:r>
      <w:r>
        <w:rPr>
          <w:rFonts w:eastAsia="Times New Roman"/>
        </w:rPr>
        <w:noBreakHyphen/>
        <w:t>21</w:t>
      </w:r>
      <w:r>
        <w:rPr>
          <w:rFonts w:eastAsia="Times New Roman"/>
        </w:rPr>
        <w:noBreakHyphen/>
        <w:t>2710; AND TO AMEND SECTION 61</w:t>
      </w:r>
      <w:r>
        <w:rPr>
          <w:rFonts w:eastAsia="Times New Roman"/>
        </w:rPr>
        <w:noBreakHyphen/>
        <w:t>4</w:t>
      </w:r>
      <w:r>
        <w:rPr>
          <w:rFonts w:eastAsia="Times New Roman"/>
        </w:rPr>
        <w:noBreakHyphen/>
        <w:t>580, RELATING TO GAME PROMOTIONS ALLOWED BY HOLDERS OF PERMITS AUTHORIZING THE SALE OF BEER OR WINE, TO CLARIFY THAT THIS ITEM DOES NOT AUTHORIZE THE USE OF ANY DEVICE PROHIBITED BY SECTION 12</w:t>
      </w:r>
      <w:r>
        <w:rPr>
          <w:rFonts w:eastAsia="Times New Roman"/>
        </w:rPr>
        <w:noBreakHyphen/>
        <w:t>21</w:t>
      </w:r>
      <w:r>
        <w:rPr>
          <w:rFonts w:eastAsia="Times New Roman"/>
        </w:rPr>
        <w:noBreakHyphen/>
        <w:t>2710.</w:t>
      </w:r>
    </w:p>
    <w:p w:rsidR="00FA3204" w:rsidRDefault="00FA3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Be it enacted by the General Assembly of the State of South Carolina:</w:t>
      </w:r>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072F9">
        <w:rPr>
          <w:color w:val="000000" w:themeColor="text1"/>
          <w:u w:color="000000" w:themeColor="text1"/>
        </w:rPr>
        <w:t>Section 61</w:t>
      </w:r>
      <w:r>
        <w:rPr>
          <w:color w:val="000000" w:themeColor="text1"/>
          <w:u w:color="000000" w:themeColor="text1"/>
        </w:rPr>
        <w:noBreakHyphen/>
      </w:r>
      <w:r w:rsidRPr="00C072F9">
        <w:rPr>
          <w:color w:val="000000" w:themeColor="text1"/>
          <w:u w:color="000000" w:themeColor="text1"/>
        </w:rPr>
        <w:t>2</w:t>
      </w:r>
      <w:r>
        <w:rPr>
          <w:color w:val="000000" w:themeColor="text1"/>
          <w:u w:color="000000" w:themeColor="text1"/>
        </w:rPr>
        <w:noBreakHyphen/>
      </w:r>
      <w:r w:rsidRPr="00C072F9">
        <w:rPr>
          <w:color w:val="000000" w:themeColor="text1"/>
          <w:u w:color="000000" w:themeColor="text1"/>
        </w:rPr>
        <w:t>180 of the 1976 Code is amended to read:</w:t>
      </w:r>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3204" w:rsidRPr="005459FF"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072F9">
        <w:rPr>
          <w:color w:val="000000" w:themeColor="text1"/>
          <w:u w:color="000000" w:themeColor="text1"/>
        </w:rPr>
        <w:t>“Section 61</w:t>
      </w:r>
      <w:r>
        <w:rPr>
          <w:color w:val="000000" w:themeColor="text1"/>
          <w:u w:color="000000" w:themeColor="text1"/>
        </w:rPr>
        <w:noBreakHyphen/>
      </w:r>
      <w:r w:rsidRPr="00C072F9">
        <w:rPr>
          <w:color w:val="000000" w:themeColor="text1"/>
          <w:u w:color="000000" w:themeColor="text1"/>
        </w:rPr>
        <w:t>2</w:t>
      </w:r>
      <w:r>
        <w:rPr>
          <w:color w:val="000000" w:themeColor="text1"/>
          <w:u w:color="000000" w:themeColor="text1"/>
        </w:rPr>
        <w:noBreakHyphen/>
        <w:t>180.</w:t>
      </w:r>
      <w:r>
        <w:rPr>
          <w:color w:val="000000" w:themeColor="text1"/>
          <w:u w:color="000000" w:themeColor="text1"/>
        </w:rPr>
        <w:tab/>
      </w:r>
      <w:r w:rsidRPr="00C072F9">
        <w:rPr>
          <w:color w:val="000000" w:themeColor="text1"/>
          <w:u w:color="000000" w:themeColor="text1"/>
        </w:rPr>
        <w:t xml:space="preserve">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bingo license from the department.  </w:t>
      </w:r>
      <w:r>
        <w:rPr>
          <w:color w:val="000000" w:themeColor="text1"/>
          <w:u w:val="single" w:color="000000" w:themeColor="text1"/>
        </w:rPr>
        <w:t>This s</w:t>
      </w:r>
      <w:r w:rsidRPr="00C072F9">
        <w:rPr>
          <w:color w:val="000000" w:themeColor="text1"/>
          <w:u w:val="single" w:color="000000" w:themeColor="text1"/>
        </w:rPr>
        <w:t>ection does not authorize the use of any device prohibited by Section 12</w:t>
      </w:r>
      <w:r>
        <w:rPr>
          <w:color w:val="000000" w:themeColor="text1"/>
          <w:u w:val="single" w:color="000000" w:themeColor="text1"/>
        </w:rPr>
        <w:noBreakHyphen/>
      </w:r>
      <w:r w:rsidRPr="00C072F9">
        <w:rPr>
          <w:color w:val="000000" w:themeColor="text1"/>
          <w:u w:val="single" w:color="000000" w:themeColor="text1"/>
        </w:rPr>
        <w:t>21</w:t>
      </w:r>
      <w:r>
        <w:rPr>
          <w:color w:val="000000" w:themeColor="text1"/>
          <w:u w:val="single" w:color="000000" w:themeColor="text1"/>
        </w:rPr>
        <w:noBreakHyphen/>
      </w:r>
      <w:r w:rsidRPr="00C072F9">
        <w:rPr>
          <w:color w:val="000000" w:themeColor="text1"/>
          <w:u w:val="single" w:color="000000" w:themeColor="text1"/>
        </w:rPr>
        <w:t>2710.</w:t>
      </w:r>
      <w:r>
        <w:rPr>
          <w:color w:val="000000" w:themeColor="text1"/>
          <w:u w:color="000000" w:themeColor="text1"/>
        </w:rPr>
        <w:t>”</w:t>
      </w:r>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320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2.</w:t>
      </w:r>
      <w:r w:rsidRPr="00C072F9">
        <w:rPr>
          <w:color w:val="000000" w:themeColor="text1"/>
          <w:u w:color="000000" w:themeColor="text1"/>
        </w:rPr>
        <w:tab/>
        <w:t>Section 61</w:t>
      </w:r>
      <w:r>
        <w:rPr>
          <w:color w:val="000000" w:themeColor="text1"/>
          <w:u w:color="000000" w:themeColor="text1"/>
        </w:rPr>
        <w:noBreakHyphen/>
      </w:r>
      <w:r w:rsidRPr="00C072F9">
        <w:rPr>
          <w:color w:val="000000" w:themeColor="text1"/>
          <w:u w:color="000000" w:themeColor="text1"/>
        </w:rPr>
        <w:t>4</w:t>
      </w:r>
      <w:r>
        <w:rPr>
          <w:color w:val="000000" w:themeColor="text1"/>
          <w:u w:color="000000" w:themeColor="text1"/>
        </w:rPr>
        <w:noBreakHyphen/>
      </w:r>
      <w:r w:rsidRPr="00C072F9">
        <w:rPr>
          <w:color w:val="000000" w:themeColor="text1"/>
          <w:u w:color="000000" w:themeColor="text1"/>
        </w:rPr>
        <w:t>580(3) of the 1976 Code is amended to read:</w:t>
      </w:r>
    </w:p>
    <w:p w:rsidR="00FA320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3204" w:rsidRPr="0000361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03614">
        <w:rPr>
          <w:color w:val="000000" w:themeColor="text1"/>
          <w:u w:color="000000" w:themeColor="text1"/>
        </w:rPr>
        <w:t>3)</w:t>
      </w:r>
      <w:r>
        <w:rPr>
          <w:color w:val="000000" w:themeColor="text1"/>
          <w:u w:color="000000" w:themeColor="text1"/>
        </w:rPr>
        <w:tab/>
      </w:r>
      <w:r w:rsidRPr="00003614">
        <w:rPr>
          <w:color w:val="000000" w:themeColor="text1"/>
          <w:u w:color="000000" w:themeColor="text1"/>
        </w:rPr>
        <w:t xml:space="preserve">permit gambling or games of chance except game promotions including contests, games of chance, or sweepstakes in which the elements of chance and prize are present and which comply with the following: </w:t>
      </w:r>
    </w:p>
    <w:p w:rsidR="00FA3204" w:rsidRPr="0000361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(a)</w:t>
      </w:r>
      <w:r>
        <w:rPr>
          <w:color w:val="000000" w:themeColor="text1"/>
          <w:u w:color="000000" w:themeColor="text1"/>
        </w:rPr>
        <w:tab/>
      </w:r>
      <w:r w:rsidRPr="00003614">
        <w:rPr>
          <w:color w:val="000000" w:themeColor="text1"/>
          <w:u w:color="000000" w:themeColor="text1"/>
        </w:rPr>
        <w:t xml:space="preserve">the game promotion is conducted or offered in connection with the sale, promotion, or advertisement of a consumer product or service, or to enhance the brand or image of a supplier of consumer products or services; </w:t>
      </w:r>
    </w:p>
    <w:p w:rsidR="00FA3204" w:rsidRPr="0000361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(b)</w:t>
      </w:r>
      <w:r>
        <w:rPr>
          <w:color w:val="000000" w:themeColor="text1"/>
          <w:u w:color="000000" w:themeColor="text1"/>
        </w:rPr>
        <w:tab/>
      </w:r>
      <w:r w:rsidRPr="00003614">
        <w:rPr>
          <w:color w:val="000000" w:themeColor="text1"/>
          <w:u w:color="000000" w:themeColor="text1"/>
        </w:rPr>
        <w:t xml:space="preserve">no purchase payment, entry fee, or proof of purchase is required as a condition of entering the game promotion or receiving a prize;  </w:t>
      </w:r>
      <w:r w:rsidRPr="005459FF">
        <w:rPr>
          <w:strike/>
          <w:color w:val="000000" w:themeColor="text1"/>
          <w:u w:color="000000" w:themeColor="text1"/>
        </w:rPr>
        <w:t>and</w:t>
      </w:r>
      <w:r w:rsidRPr="00003614">
        <w:rPr>
          <w:color w:val="000000" w:themeColor="text1"/>
          <w:u w:color="000000" w:themeColor="text1"/>
        </w:rPr>
        <w:t xml:space="preserve"> </w:t>
      </w:r>
    </w:p>
    <w:p w:rsidR="00FA3204" w:rsidRPr="00003614"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(c)</w:t>
      </w:r>
      <w:r>
        <w:rPr>
          <w:color w:val="000000" w:themeColor="text1"/>
          <w:u w:color="000000" w:themeColor="text1"/>
        </w:rPr>
        <w:tab/>
      </w:r>
      <w:r w:rsidRPr="00003614">
        <w:rPr>
          <w:color w:val="000000" w:themeColor="text1"/>
          <w:u w:color="000000" w:themeColor="text1"/>
        </w:rPr>
        <w:t>all materials advertising the game promotion clearly disclose that no purchase or payment is necessary to enter and provide details on the free method of participation</w:t>
      </w:r>
      <w:r w:rsidRPr="00A13445">
        <w:rPr>
          <w:strike/>
          <w:color w:val="000000" w:themeColor="text1"/>
          <w:u w:color="000000" w:themeColor="text1"/>
        </w:rPr>
        <w:t>.</w:t>
      </w:r>
      <w:r>
        <w:rPr>
          <w:color w:val="000000" w:themeColor="text1"/>
          <w:u w:val="single" w:color="000000" w:themeColor="text1"/>
        </w:rPr>
        <w:t>; and</w:t>
      </w:r>
      <w:r w:rsidRPr="00003614">
        <w:rPr>
          <w:color w:val="000000" w:themeColor="text1"/>
          <w:u w:color="000000" w:themeColor="text1"/>
        </w:rPr>
        <w:t xml:space="preserve"> </w:t>
      </w:r>
    </w:p>
    <w:p w:rsidR="00FA3204" w:rsidRPr="005459FF"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59FF">
        <w:rPr>
          <w:color w:val="000000" w:themeColor="text1"/>
          <w:u w:color="000000" w:themeColor="text1"/>
        </w:rPr>
        <w:tab/>
      </w:r>
      <w:r w:rsidRPr="005459FF">
        <w:rPr>
          <w:color w:val="000000" w:themeColor="text1"/>
          <w:u w:color="000000" w:themeColor="text1"/>
        </w:rPr>
        <w:tab/>
      </w:r>
      <w:r w:rsidRPr="00C072F9">
        <w:rPr>
          <w:color w:val="000000" w:themeColor="text1"/>
          <w:u w:val="single" w:color="000000" w:themeColor="text1"/>
        </w:rPr>
        <w:t>(d)</w:t>
      </w:r>
      <w:r w:rsidRPr="005459FF">
        <w:rPr>
          <w:color w:val="000000" w:themeColor="text1"/>
          <w:u w:color="000000" w:themeColor="text1"/>
        </w:rPr>
        <w:tab/>
      </w:r>
      <w:r w:rsidRPr="00C072F9">
        <w:rPr>
          <w:color w:val="000000" w:themeColor="text1"/>
          <w:u w:val="single" w:color="000000" w:themeColor="text1"/>
        </w:rPr>
        <w:t>this item does not authorize the use of any device prohibited by Section 12</w:t>
      </w:r>
      <w:r>
        <w:rPr>
          <w:color w:val="000000" w:themeColor="text1"/>
          <w:u w:val="single" w:color="000000" w:themeColor="text1"/>
        </w:rPr>
        <w:noBreakHyphen/>
      </w:r>
      <w:r w:rsidRPr="00C072F9">
        <w:rPr>
          <w:color w:val="000000" w:themeColor="text1"/>
          <w:u w:val="single" w:color="000000" w:themeColor="text1"/>
        </w:rPr>
        <w:t>21</w:t>
      </w:r>
      <w:r>
        <w:rPr>
          <w:color w:val="000000" w:themeColor="text1"/>
          <w:u w:val="single" w:color="000000" w:themeColor="text1"/>
        </w:rPr>
        <w:noBreakHyphen/>
      </w:r>
      <w:r w:rsidRPr="00C072F9">
        <w:rPr>
          <w:color w:val="000000" w:themeColor="text1"/>
          <w:u w:val="single" w:color="000000" w:themeColor="text1"/>
        </w:rPr>
        <w:t>2710</w:t>
      </w:r>
      <w:r>
        <w:rPr>
          <w:color w:val="000000" w:themeColor="text1"/>
          <w:u w:val="single" w:color="000000" w:themeColor="text1"/>
        </w:rPr>
        <w:t>;</w:t>
      </w:r>
      <w:r>
        <w:rPr>
          <w:color w:val="000000" w:themeColor="text1"/>
          <w:u w:color="000000" w:themeColor="text1"/>
        </w:rPr>
        <w:t>”</w:t>
      </w:r>
    </w:p>
    <w:p w:rsidR="00FA3204" w:rsidRPr="00C072F9"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3204" w:rsidRPr="005459FF" w:rsidRDefault="00FA3204"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3.</w:t>
      </w:r>
      <w:r w:rsidRPr="00C072F9">
        <w:rPr>
          <w:color w:val="000000" w:themeColor="text1"/>
          <w:u w:color="000000" w:themeColor="text1"/>
        </w:rPr>
        <w:tab/>
        <w:t>This act takes effect upon approval by the Governor.</w:t>
      </w:r>
    </w:p>
    <w:p w:rsidR="00FA3204" w:rsidRDefault="00FA32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049" w:rsidRDefault="00752049" w:rsidP="00FA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52049" w:rsidSect="006D486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B98" w:rsidRDefault="00E24B98" w:rsidP="00522CE0">
      <w:r>
        <w:separator/>
      </w:r>
    </w:p>
  </w:endnote>
  <w:endnote w:type="continuationSeparator" w:id="0">
    <w:p w:rsidR="00E24B98" w:rsidRDefault="00E24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BB176-44E5-4672-B46C-9ED663FA1F25}"/>
    <w:embedBold r:id="rId2" w:fontKey="{FE423253-4E2A-434C-ABCE-923A716EB742}"/>
    <w:embedItalic r:id="rId3" w:fontKey="{5A668A65-C30F-4D35-8AED-3275CC335AB6}"/>
  </w:font>
  <w:font w:name="Calibri">
    <w:panose1 w:val="020F0502020204030204"/>
    <w:charset w:val="00"/>
    <w:family w:val="swiss"/>
    <w:pitch w:val="variable"/>
    <w:sig w:usb0="E10002FF" w:usb1="4000ACFF" w:usb2="00000009" w:usb3="00000000" w:csb0="0000019F" w:csb1="00000000"/>
    <w:embedRegular r:id="rId4" w:fontKey="{C41E6090-8657-4D14-B747-2265E77FF493}"/>
    <w:embedBold r:id="rId5" w:fontKey="{C8F6BA18-C4A8-4A4C-81C2-9B1E06F5949C}"/>
  </w:font>
  <w:font w:name="Cambria">
    <w:panose1 w:val="02040503050406030204"/>
    <w:charset w:val="00"/>
    <w:family w:val="roman"/>
    <w:pitch w:val="variable"/>
    <w:sig w:usb0="E00002FF" w:usb1="400004FF" w:usb2="00000000" w:usb3="00000000" w:csb0="0000019F" w:csb1="00000000"/>
    <w:embedRegular r:id="rId6" w:fontKey="{B668CB63-6512-41CF-ADF2-7C68D34AD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204" w:rsidRPr="00752049" w:rsidRDefault="00FA3204" w:rsidP="00752049">
    <w:pPr>
      <w:pStyle w:val="Footer"/>
      <w:tabs>
        <w:tab w:val="clear" w:pos="4680"/>
        <w:tab w:val="clear" w:pos="9360"/>
        <w:tab w:val="center" w:pos="2995"/>
      </w:tabs>
      <w:spacing w:before="120"/>
    </w:pPr>
    <w:r>
      <w:t>[1065-</w:t>
    </w:r>
    <w:r w:rsidR="004339FF">
      <w:fldChar w:fldCharType="begin"/>
    </w:r>
    <w:r w:rsidR="004339FF">
      <w:instrText xml:space="preserve"> PAGE  \* MERGEFORMAT </w:instrText>
    </w:r>
    <w:r w:rsidR="004339FF">
      <w:fldChar w:fldCharType="separate"/>
    </w:r>
    <w:r w:rsidR="004339FF">
      <w:rPr>
        <w:noProof/>
      </w:rPr>
      <w:t>1</w:t>
    </w:r>
    <w:r w:rsidR="004339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866" w:rsidRPr="00752049" w:rsidRDefault="00FA3204" w:rsidP="00752049">
    <w:pPr>
      <w:pStyle w:val="Footer"/>
      <w:tabs>
        <w:tab w:val="clear" w:pos="4680"/>
        <w:tab w:val="clear" w:pos="9360"/>
        <w:tab w:val="center" w:pos="2995"/>
      </w:tabs>
      <w:spacing w:before="120"/>
    </w:pPr>
    <w:r>
      <w:t>[1065]</w:t>
    </w:r>
    <w:r>
      <w:tab/>
    </w:r>
    <w:r w:rsidR="001433E9">
      <w:fldChar w:fldCharType="begin"/>
    </w:r>
    <w:r>
      <w:instrText xml:space="preserve"> PAGE  \* MERGEFORMAT </w:instrText>
    </w:r>
    <w:r w:rsidR="001433E9">
      <w:fldChar w:fldCharType="separate"/>
    </w:r>
    <w:r>
      <w:rPr>
        <w:noProof/>
      </w:rPr>
      <w:t>2</w:t>
    </w:r>
    <w:r w:rsidR="001433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B98" w:rsidRDefault="00E24B98" w:rsidP="00522CE0">
      <w:r>
        <w:separator/>
      </w:r>
    </w:p>
  </w:footnote>
  <w:footnote w:type="continuationSeparator" w:id="0">
    <w:p w:rsidR="00E24B98" w:rsidRDefault="00E24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8VIDE.EC.LAM"/>
    <w:docVar w:name="CoverAttorneyInitials" w:val="EC"/>
    <w:docVar w:name="CoverAttorneyLastName" w:val="Crawford"/>
    <w:docVar w:name="CoverBillType" w:val="b"/>
    <w:docVar w:name="CoverSenator" w:val="LAM"/>
    <w:docVar w:name="dvBillNumber" w:val="1065"/>
    <w:docVar w:name="dvBillNumberPrefix" w:val="S. "/>
    <w:docVar w:name="dvOriginalBody" w:val="Senate"/>
    <w:docVar w:name="fulldraftpath" w:val="L:\S-RULES\DRAFTING\LAM\018VIDE.EC.LAM.DOCX"/>
    <w:docVar w:name="NameofBody" w:val="S"/>
    <w:docVar w:name="vgroup2" w:val="S-RULES"/>
  </w:docVars>
  <w:rsids>
    <w:rsidRoot w:val="00D065B7"/>
    <w:rsid w:val="00042AC1"/>
    <w:rsid w:val="00046516"/>
    <w:rsid w:val="000748AA"/>
    <w:rsid w:val="0007601D"/>
    <w:rsid w:val="000918D9"/>
    <w:rsid w:val="000B0720"/>
    <w:rsid w:val="000B5EAF"/>
    <w:rsid w:val="0013640B"/>
    <w:rsid w:val="001433E9"/>
    <w:rsid w:val="00147014"/>
    <w:rsid w:val="00167FD4"/>
    <w:rsid w:val="00170561"/>
    <w:rsid w:val="00186AC9"/>
    <w:rsid w:val="00192672"/>
    <w:rsid w:val="00197DF1"/>
    <w:rsid w:val="001B3DD9"/>
    <w:rsid w:val="001D3BAC"/>
    <w:rsid w:val="00245C4E"/>
    <w:rsid w:val="002B49D2"/>
    <w:rsid w:val="002C5896"/>
    <w:rsid w:val="002D3BED"/>
    <w:rsid w:val="00307C2B"/>
    <w:rsid w:val="00344D14"/>
    <w:rsid w:val="003A0AA1"/>
    <w:rsid w:val="003C30E0"/>
    <w:rsid w:val="003D6E2B"/>
    <w:rsid w:val="003E653E"/>
    <w:rsid w:val="003E7597"/>
    <w:rsid w:val="004339FF"/>
    <w:rsid w:val="0043536E"/>
    <w:rsid w:val="00450668"/>
    <w:rsid w:val="00476120"/>
    <w:rsid w:val="004952FA"/>
    <w:rsid w:val="004B0759"/>
    <w:rsid w:val="004B6A22"/>
    <w:rsid w:val="004D7F37"/>
    <w:rsid w:val="004E6254"/>
    <w:rsid w:val="004F1504"/>
    <w:rsid w:val="004F2AFD"/>
    <w:rsid w:val="005149FE"/>
    <w:rsid w:val="005229CA"/>
    <w:rsid w:val="00522CE0"/>
    <w:rsid w:val="005459FF"/>
    <w:rsid w:val="00565148"/>
    <w:rsid w:val="00593361"/>
    <w:rsid w:val="005A5017"/>
    <w:rsid w:val="005A648C"/>
    <w:rsid w:val="005D07D0"/>
    <w:rsid w:val="005E167E"/>
    <w:rsid w:val="005E4268"/>
    <w:rsid w:val="005E7673"/>
    <w:rsid w:val="005F1745"/>
    <w:rsid w:val="00610FAB"/>
    <w:rsid w:val="00645652"/>
    <w:rsid w:val="006C240A"/>
    <w:rsid w:val="006C74EA"/>
    <w:rsid w:val="006E6AD4"/>
    <w:rsid w:val="00720D40"/>
    <w:rsid w:val="007318D4"/>
    <w:rsid w:val="00741B3B"/>
    <w:rsid w:val="00752049"/>
    <w:rsid w:val="00765784"/>
    <w:rsid w:val="00770904"/>
    <w:rsid w:val="00787094"/>
    <w:rsid w:val="00796483"/>
    <w:rsid w:val="00797511"/>
    <w:rsid w:val="007A4390"/>
    <w:rsid w:val="007B6510"/>
    <w:rsid w:val="007E5CB7"/>
    <w:rsid w:val="008314D2"/>
    <w:rsid w:val="00893A7A"/>
    <w:rsid w:val="00895EDE"/>
    <w:rsid w:val="008B2F42"/>
    <w:rsid w:val="008D282C"/>
    <w:rsid w:val="008E185F"/>
    <w:rsid w:val="008F023B"/>
    <w:rsid w:val="008F37CB"/>
    <w:rsid w:val="00904E16"/>
    <w:rsid w:val="00911636"/>
    <w:rsid w:val="009162B3"/>
    <w:rsid w:val="00927C62"/>
    <w:rsid w:val="00967532"/>
    <w:rsid w:val="00981E56"/>
    <w:rsid w:val="00983951"/>
    <w:rsid w:val="00984124"/>
    <w:rsid w:val="00984640"/>
    <w:rsid w:val="00995C37"/>
    <w:rsid w:val="009A6B6B"/>
    <w:rsid w:val="009C118A"/>
    <w:rsid w:val="00A02011"/>
    <w:rsid w:val="00A13445"/>
    <w:rsid w:val="00A4011E"/>
    <w:rsid w:val="00A67033"/>
    <w:rsid w:val="00A86015"/>
    <w:rsid w:val="00AA5E0A"/>
    <w:rsid w:val="00AB1F13"/>
    <w:rsid w:val="00AE59C8"/>
    <w:rsid w:val="00B10098"/>
    <w:rsid w:val="00B47B87"/>
    <w:rsid w:val="00B5790D"/>
    <w:rsid w:val="00B70499"/>
    <w:rsid w:val="00B945C5"/>
    <w:rsid w:val="00BA1CBB"/>
    <w:rsid w:val="00BA20EA"/>
    <w:rsid w:val="00BB5AFC"/>
    <w:rsid w:val="00BC0A56"/>
    <w:rsid w:val="00BF0A7E"/>
    <w:rsid w:val="00BF476D"/>
    <w:rsid w:val="00C45366"/>
    <w:rsid w:val="00C46AA4"/>
    <w:rsid w:val="00C66DCD"/>
    <w:rsid w:val="00C74052"/>
    <w:rsid w:val="00C762AA"/>
    <w:rsid w:val="00C93D3A"/>
    <w:rsid w:val="00CB187A"/>
    <w:rsid w:val="00CC0EC7"/>
    <w:rsid w:val="00CE0D2C"/>
    <w:rsid w:val="00CF30EA"/>
    <w:rsid w:val="00CF37A8"/>
    <w:rsid w:val="00D065B7"/>
    <w:rsid w:val="00D1088B"/>
    <w:rsid w:val="00D11F8F"/>
    <w:rsid w:val="00D139BB"/>
    <w:rsid w:val="00D156D2"/>
    <w:rsid w:val="00D709DD"/>
    <w:rsid w:val="00D86943"/>
    <w:rsid w:val="00DA47B9"/>
    <w:rsid w:val="00E24B98"/>
    <w:rsid w:val="00E273A9"/>
    <w:rsid w:val="00E91E2F"/>
    <w:rsid w:val="00E944CE"/>
    <w:rsid w:val="00EA3546"/>
    <w:rsid w:val="00EB47AE"/>
    <w:rsid w:val="00EC34E1"/>
    <w:rsid w:val="00F0234A"/>
    <w:rsid w:val="00F052FD"/>
    <w:rsid w:val="00F17582"/>
    <w:rsid w:val="00F3291D"/>
    <w:rsid w:val="00F52959"/>
    <w:rsid w:val="00F55884"/>
    <w:rsid w:val="00F8260B"/>
    <w:rsid w:val="00F97DFC"/>
    <w:rsid w:val="00FA3204"/>
    <w:rsid w:val="00FC0D36"/>
    <w:rsid w:val="00FD693B"/>
    <w:rsid w:val="00FE6467"/>
    <w:rsid w:val="00FF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DA01A8D1-A7CA-4C9D-A75F-A2723AAC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5E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065_20120321.docx" TargetMode="External"/><Relationship Id="rId4" Type="http://schemas.openxmlformats.org/officeDocument/2006/relationships/footnotes" Target="footnotes.xml"/><Relationship Id="rId9" Type="http://schemas.openxmlformats.org/officeDocument/2006/relationships/hyperlink" Target="file:///p:\pprever\2011-12\1065_201201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1237</Words>
  <Characters>6423</Characters>
  <Application>Microsoft Office Word</Application>
  <DocSecurity>4</DocSecurity>
  <Lines>205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1065: Bingo and raffles - South Carolina Legislature Online</dc:title>
  <dc:subject/>
  <dc:creator>ErinCrawford</dc:creator>
  <cp:keywords/>
  <dc:description/>
  <cp:lastModifiedBy>N Cumfer</cp:lastModifiedBy>
  <cp:revision>2</cp:revision>
  <cp:lastPrinted>2012-01-09T21:35:00Z</cp:lastPrinted>
  <dcterms:created xsi:type="dcterms:W3CDTF">2014-11-21T21:07:00Z</dcterms:created>
  <dcterms:modified xsi:type="dcterms:W3CDTF">2014-11-21T21:07:00Z</dcterms:modified>
</cp:coreProperties>
</file>