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991" w:rsidRDefault="000B3991" w:rsidP="000B3991">
      <w:pPr>
        <w:widowControl w:val="0"/>
        <w:jc w:val="center"/>
      </w:pPr>
      <w:bookmarkStart w:id="0" w:name="_GoBack"/>
      <w:bookmarkEnd w:id="0"/>
      <w:r w:rsidRPr="000B3991">
        <w:rPr>
          <w:b/>
        </w:rPr>
        <w:t>South Carolina General Assembly</w:t>
      </w:r>
    </w:p>
    <w:p w:rsidR="000B3991" w:rsidRDefault="000B3991" w:rsidP="000B3991">
      <w:pPr>
        <w:widowControl w:val="0"/>
        <w:jc w:val="center"/>
      </w:pPr>
      <w:r>
        <w:t>119th Session, 2011-2012</w:t>
      </w:r>
    </w:p>
    <w:p w:rsidR="000B3991" w:rsidRDefault="000B3991" w:rsidP="000B3991">
      <w:pPr>
        <w:widowControl w:val="0"/>
        <w:jc w:val="left"/>
      </w:pPr>
    </w:p>
    <w:p w:rsidR="000B3991" w:rsidRDefault="000B3991" w:rsidP="000B3991">
      <w:pPr>
        <w:widowControl w:val="0"/>
        <w:jc w:val="left"/>
        <w:rPr>
          <w:b/>
        </w:rPr>
      </w:pPr>
      <w:r w:rsidRPr="000B3991">
        <w:rPr>
          <w:b/>
        </w:rPr>
        <w:t>S.</w:t>
      </w:r>
      <w:r>
        <w:rPr>
          <w:b/>
        </w:rPr>
        <w:t xml:space="preserve"> </w:t>
      </w:r>
      <w:r w:rsidRPr="000B3991">
        <w:rPr>
          <w:b/>
        </w:rPr>
        <w:t>1136</w:t>
      </w:r>
    </w:p>
    <w:p w:rsidR="000B3991" w:rsidRDefault="000B3991" w:rsidP="000B3991">
      <w:pPr>
        <w:widowControl w:val="0"/>
        <w:jc w:val="left"/>
        <w:rPr>
          <w:b/>
        </w:rPr>
      </w:pPr>
    </w:p>
    <w:p w:rsidR="000B3991" w:rsidRDefault="000B3991" w:rsidP="000B3991">
      <w:pPr>
        <w:widowControl w:val="0"/>
        <w:jc w:val="left"/>
      </w:pPr>
      <w:r w:rsidRPr="000B3991">
        <w:rPr>
          <w:b/>
        </w:rPr>
        <w:t>STATUS INFORMATION</w:t>
      </w:r>
    </w:p>
    <w:p w:rsidR="000B3991" w:rsidRDefault="000B3991" w:rsidP="000B3991">
      <w:pPr>
        <w:widowControl w:val="0"/>
        <w:jc w:val="left"/>
      </w:pPr>
    </w:p>
    <w:p w:rsidR="000B3991" w:rsidRDefault="000B3991" w:rsidP="000B3991">
      <w:pPr>
        <w:widowControl w:val="0"/>
        <w:jc w:val="left"/>
      </w:pPr>
      <w:r>
        <w:t>General Bill</w:t>
      </w:r>
    </w:p>
    <w:p w:rsidR="000B3991" w:rsidRDefault="000B3991" w:rsidP="000B3991">
      <w:pPr>
        <w:widowControl w:val="0"/>
        <w:jc w:val="left"/>
      </w:pPr>
      <w:r>
        <w:t>Sponsors: Senator Cleary</w:t>
      </w:r>
    </w:p>
    <w:p w:rsidR="000B3991" w:rsidRDefault="000B3991" w:rsidP="000B3991">
      <w:pPr>
        <w:widowControl w:val="0"/>
        <w:jc w:val="left"/>
      </w:pPr>
      <w:r>
        <w:t>Document Path: l:\council\bills\ggs\22229zw12.docx</w:t>
      </w:r>
    </w:p>
    <w:p w:rsidR="00B30BBF" w:rsidRDefault="00B30BBF" w:rsidP="000B3991">
      <w:pPr>
        <w:widowControl w:val="0"/>
        <w:jc w:val="left"/>
      </w:pPr>
      <w:r>
        <w:t>Companion/Similar bill(s): 4431</w:t>
      </w:r>
    </w:p>
    <w:p w:rsidR="000B3991" w:rsidRDefault="000B3991" w:rsidP="000B3991">
      <w:pPr>
        <w:widowControl w:val="0"/>
        <w:jc w:val="left"/>
      </w:pPr>
    </w:p>
    <w:p w:rsidR="000B3991" w:rsidRDefault="000B3991" w:rsidP="000B3991">
      <w:pPr>
        <w:widowControl w:val="0"/>
        <w:jc w:val="left"/>
      </w:pPr>
      <w:r>
        <w:t>Introduced in the Senate on January 24, 2012</w:t>
      </w:r>
    </w:p>
    <w:p w:rsidR="000B3991" w:rsidRDefault="000B3991" w:rsidP="000B3991">
      <w:pPr>
        <w:widowControl w:val="0"/>
        <w:jc w:val="left"/>
      </w:pPr>
      <w:r>
        <w:t xml:space="preserve">Currently residing in the Senate Committee on </w:t>
      </w:r>
      <w:r w:rsidRPr="000B3991">
        <w:rPr>
          <w:b/>
        </w:rPr>
        <w:t>Judiciary</w:t>
      </w:r>
    </w:p>
    <w:p w:rsidR="000B3991" w:rsidRDefault="000B3991" w:rsidP="000B3991">
      <w:pPr>
        <w:widowControl w:val="0"/>
        <w:jc w:val="left"/>
      </w:pPr>
    </w:p>
    <w:p w:rsidR="000B3991" w:rsidRDefault="000B3991" w:rsidP="000B3991">
      <w:pPr>
        <w:widowControl w:val="0"/>
        <w:jc w:val="left"/>
      </w:pPr>
      <w:r>
        <w:t xml:space="preserve">Summary: </w:t>
      </w:r>
      <w:r w:rsidR="009E655F">
        <w:t>Waccamaw Regional Planning Council</w:t>
      </w:r>
    </w:p>
    <w:p w:rsidR="000B3991" w:rsidRDefault="000B3991" w:rsidP="000B3991">
      <w:pPr>
        <w:widowControl w:val="0"/>
        <w:jc w:val="left"/>
      </w:pPr>
    </w:p>
    <w:p w:rsidR="000B3991" w:rsidRDefault="000B3991" w:rsidP="000B3991">
      <w:pPr>
        <w:widowControl w:val="0"/>
        <w:jc w:val="left"/>
      </w:pPr>
    </w:p>
    <w:p w:rsidR="000B3991" w:rsidRDefault="000B3991" w:rsidP="000B3991">
      <w:pPr>
        <w:widowControl w:val="0"/>
        <w:tabs>
          <w:tab w:val="center" w:pos="590"/>
          <w:tab w:val="center" w:pos="1440"/>
          <w:tab w:val="left" w:pos="1872"/>
          <w:tab w:val="left" w:pos="9187"/>
        </w:tabs>
        <w:jc w:val="left"/>
      </w:pPr>
      <w:r w:rsidRPr="000B3991">
        <w:rPr>
          <w:b/>
        </w:rPr>
        <w:t>HISTORY OF LEGISLATIVE ACTIONS</w:t>
      </w:r>
    </w:p>
    <w:p w:rsidR="000B3991" w:rsidRDefault="000B3991" w:rsidP="000B3991">
      <w:pPr>
        <w:widowControl w:val="0"/>
        <w:tabs>
          <w:tab w:val="center" w:pos="590"/>
          <w:tab w:val="center" w:pos="1440"/>
          <w:tab w:val="left" w:pos="1872"/>
          <w:tab w:val="left" w:pos="9187"/>
        </w:tabs>
        <w:jc w:val="left"/>
      </w:pPr>
    </w:p>
    <w:p w:rsidR="000B3991" w:rsidRPr="000B3991" w:rsidRDefault="000B3991" w:rsidP="000B3991">
      <w:pPr>
        <w:widowControl w:val="0"/>
        <w:tabs>
          <w:tab w:val="center" w:pos="590"/>
          <w:tab w:val="center" w:pos="1440"/>
          <w:tab w:val="left" w:pos="1872"/>
          <w:tab w:val="left" w:pos="9187"/>
        </w:tabs>
        <w:jc w:val="left"/>
      </w:pPr>
      <w:r w:rsidRPr="000B3991">
        <w:rPr>
          <w:u w:val="single"/>
        </w:rPr>
        <w:tab/>
        <w:t>Date</w:t>
      </w:r>
      <w:r w:rsidRPr="000B3991">
        <w:rPr>
          <w:u w:val="single"/>
        </w:rPr>
        <w:tab/>
        <w:t>Body</w:t>
      </w:r>
      <w:r w:rsidRPr="000B3991">
        <w:rPr>
          <w:u w:val="single"/>
        </w:rPr>
        <w:tab/>
        <w:t>Action Description with journal page number</w:t>
      </w:r>
      <w:r w:rsidRPr="000B3991">
        <w:rPr>
          <w:u w:val="single"/>
        </w:rPr>
        <w:tab/>
      </w:r>
    </w:p>
    <w:p w:rsidR="00E116FD" w:rsidRDefault="00E116FD" w:rsidP="00E116FD">
      <w:pPr>
        <w:widowControl w:val="0"/>
        <w:tabs>
          <w:tab w:val="right" w:pos="1008"/>
          <w:tab w:val="left" w:pos="1152"/>
          <w:tab w:val="left" w:pos="1872"/>
          <w:tab w:val="left" w:pos="9187"/>
        </w:tabs>
        <w:ind w:left="2088" w:hanging="2088"/>
        <w:jc w:val="left"/>
      </w:pPr>
      <w:r>
        <w:tab/>
        <w:t>1/24/2012</w:t>
      </w:r>
      <w:r>
        <w:tab/>
        <w:t>Senate</w:t>
      </w:r>
      <w:r>
        <w:tab/>
      </w:r>
      <w:r w:rsidRPr="00DC0676">
        <w:t>Introduced and read first time (</w:t>
      </w:r>
      <w:hyperlink r:id="rId7" w:history="1">
        <w:r w:rsidRPr="00DC0676">
          <w:rPr>
            <w:rStyle w:val="Hyperlink"/>
          </w:rPr>
          <w:t>Senate Journal</w:t>
        </w:r>
        <w:r w:rsidRPr="00DC0676">
          <w:rPr>
            <w:rStyle w:val="Hyperlink"/>
          </w:rPr>
          <w:noBreakHyphen/>
          <w:t>page 9</w:t>
        </w:r>
      </w:hyperlink>
      <w:r w:rsidRPr="00DC0676">
        <w:t>)</w:t>
      </w:r>
    </w:p>
    <w:p w:rsidR="00E116FD" w:rsidRDefault="00E116FD" w:rsidP="00E116FD">
      <w:pPr>
        <w:widowControl w:val="0"/>
        <w:tabs>
          <w:tab w:val="right" w:pos="1008"/>
          <w:tab w:val="left" w:pos="1152"/>
          <w:tab w:val="left" w:pos="1872"/>
          <w:tab w:val="left" w:pos="9187"/>
        </w:tabs>
        <w:ind w:left="2088" w:hanging="2088"/>
        <w:jc w:val="left"/>
      </w:pPr>
      <w:r>
        <w:tab/>
        <w:t>1/24/2012</w:t>
      </w:r>
      <w:r>
        <w:tab/>
        <w:t>Senate</w:t>
      </w:r>
      <w:r>
        <w:tab/>
      </w:r>
      <w:r w:rsidRPr="00DC0676">
        <w:t xml:space="preserve">Referred to Committee on </w:t>
      </w:r>
      <w:r w:rsidRPr="00DC0676">
        <w:rPr>
          <w:b/>
        </w:rPr>
        <w:t>Judiciary</w:t>
      </w:r>
      <w:r w:rsidRPr="00DC0676">
        <w:t xml:space="preserve"> (</w:t>
      </w:r>
      <w:hyperlink r:id="rId8" w:history="1">
        <w:r w:rsidRPr="00DC0676">
          <w:rPr>
            <w:rStyle w:val="Hyperlink"/>
          </w:rPr>
          <w:t>Senate Journal</w:t>
        </w:r>
        <w:r w:rsidRPr="00DC0676">
          <w:rPr>
            <w:rStyle w:val="Hyperlink"/>
          </w:rPr>
          <w:noBreakHyphen/>
          <w:t>page 9</w:t>
        </w:r>
      </w:hyperlink>
      <w:r w:rsidRPr="00DC0676">
        <w:t>)</w:t>
      </w:r>
    </w:p>
    <w:p w:rsidR="00E116FD" w:rsidRDefault="00E116FD" w:rsidP="00E116FD">
      <w:pPr>
        <w:widowControl w:val="0"/>
        <w:tabs>
          <w:tab w:val="right" w:pos="1008"/>
          <w:tab w:val="left" w:pos="1152"/>
          <w:tab w:val="left" w:pos="1872"/>
          <w:tab w:val="left" w:pos="9187"/>
        </w:tabs>
        <w:ind w:left="2088" w:hanging="2088"/>
        <w:jc w:val="left"/>
      </w:pPr>
    </w:p>
    <w:p w:rsidR="000B3991" w:rsidRPr="000B3991" w:rsidRDefault="000B3991" w:rsidP="000B3991">
      <w:pPr>
        <w:widowControl w:val="0"/>
        <w:tabs>
          <w:tab w:val="right" w:pos="1008"/>
          <w:tab w:val="left" w:pos="1152"/>
          <w:tab w:val="left" w:pos="1872"/>
          <w:tab w:val="left" w:pos="9187"/>
        </w:tabs>
        <w:ind w:left="2088" w:hanging="2088"/>
        <w:jc w:val="left"/>
      </w:pPr>
    </w:p>
    <w:p w:rsidR="000B3991" w:rsidRDefault="000B3991" w:rsidP="000B3991">
      <w:pPr>
        <w:widowControl w:val="0"/>
        <w:jc w:val="left"/>
      </w:pPr>
      <w:r w:rsidRPr="000B3991">
        <w:rPr>
          <w:b/>
        </w:rPr>
        <w:t>VERSIONS OF THIS BILL</w:t>
      </w:r>
    </w:p>
    <w:p w:rsidR="000B3991" w:rsidRDefault="000B3991" w:rsidP="000B3991">
      <w:pPr>
        <w:widowControl w:val="0"/>
        <w:jc w:val="left"/>
      </w:pPr>
    </w:p>
    <w:p w:rsidR="000B3991" w:rsidRDefault="00C23D21" w:rsidP="000B3991">
      <w:pPr>
        <w:widowControl w:val="0"/>
        <w:jc w:val="left"/>
      </w:pPr>
      <w:hyperlink r:id="rId9" w:history="1">
        <w:r w:rsidR="000B3991">
          <w:rPr>
            <w:rStyle w:val="Hyperlink"/>
          </w:rPr>
          <w:t>1/24/2012</w:t>
        </w:r>
      </w:hyperlink>
    </w:p>
    <w:p w:rsidR="000B3991" w:rsidRDefault="000B3991" w:rsidP="000B3991"/>
    <w:p w:rsidR="000B3991" w:rsidRDefault="000B3991" w:rsidP="000B3991">
      <w:pPr>
        <w:sectPr w:rsidR="000B3991" w:rsidSect="000B399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2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2A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7</w:t>
      </w:r>
      <w:r>
        <w:noBreakHyphen/>
        <w:t>110, CODE OF LAWS OF SOUTH CAROLINA, 1976, RELATING TO THE AUTHORIZATION AND GEOGRAPHIC GROUPINGS FOR REGIONAL COUNCILS OF GOVERNMENT, SO AS TO DELETE THE REFERENCE TO THE APPOINTMENT PROCESS FOR GEORGETOWN COUNTY; TO AMEND ACT 515 OF 1996, AS AMENDED, RELATING TO THE DEVOLUTION ON THE GOVERNING BODY OF GEORGETOWN COUNTY OF APPOINTMENT AND RECOMMENDATION FOR APPOINTMENT AUTHORITY OF VARIOUS GEORGETOWN COUNTY OFFICES FORMERLY HELD BY THE GEORGETOWN COUNTY LEGISLATIVE DELEGATION, SO AS TO RESTORE THE WACCAMAW REGIONAL PLANNING COUNCIL WHICH IS SUBJECT TO THE ABOVE PROVISIONS; AND TO AMEND ACT 197 OF 1999, RELATING TO THE APPOINTMENT AUTHORITY FOR THE WACCAMAW REGIONAL PLANNING COUNCIL, SO AS TO CONFORM IT TO THE REVISED PROVISIONS OF ACT 515 OF 1996.</w:t>
      </w:r>
    </w:p>
    <w:p w:rsidR="00462A72" w:rsidRDefault="0046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2A72" w:rsidRDefault="0046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A72" w:rsidRDefault="0046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7</w:t>
      </w:r>
      <w:r>
        <w:noBreakHyphen/>
        <w:t>110 of the 1976 Code is amended to read:</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7</w:t>
      </w:r>
      <w:r>
        <w:noBreakHyphen/>
        <w:t>110.</w:t>
      </w:r>
      <w:r>
        <w:tab/>
      </w:r>
      <w:r w:rsidRPr="00625F46">
        <w:t xml:space="preserve">The governing bodies of the counties are authorized to create regional councils of government by means of an agreement approved by the governing </w:t>
      </w:r>
      <w:r w:rsidRPr="00625F46">
        <w:lastRenderedPageBreak/>
        <w:t xml:space="preserve">bodies of the participating counties and approved by the Governor.  The regional councils of government, including more than one county, </w:t>
      </w:r>
      <w:r w:rsidRPr="004F37AA">
        <w:rPr>
          <w:strike/>
        </w:rPr>
        <w:t>shall</w:t>
      </w:r>
      <w:r w:rsidR="004F37AA">
        <w:rPr>
          <w:u w:val="single"/>
        </w:rPr>
        <w:t>must</w:t>
      </w:r>
      <w:r w:rsidRPr="00625F46">
        <w:t xml:space="preserve"> be grouped in accordance with the following geographic areas: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1</w:t>
      </w:r>
      <w:r>
        <w:t xml:space="preserve"> </w:t>
      </w:r>
      <w:r>
        <w:noBreakHyphen/>
      </w:r>
      <w:r>
        <w:tab/>
      </w:r>
      <w:r w:rsidRPr="00625F46">
        <w:t xml:space="preserve">Anderson, Cherokee, Greenville, Oconee, Pickens and Spartanburg;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2</w:t>
      </w:r>
      <w:r>
        <w:t xml:space="preserve"> </w:t>
      </w:r>
      <w:r>
        <w:noBreakHyphen/>
      </w:r>
      <w:r>
        <w:tab/>
      </w:r>
      <w:r w:rsidRPr="00625F46">
        <w:t xml:space="preserve">Abbeville, Edgefield, Greenwood, Laurens, McCormick and Saluda;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3</w:t>
      </w:r>
      <w:r>
        <w:t xml:space="preserve"> </w:t>
      </w:r>
      <w:r>
        <w:noBreakHyphen/>
      </w:r>
      <w:r>
        <w:tab/>
      </w:r>
      <w:r w:rsidRPr="00625F46">
        <w:t xml:space="preserve">Chester, Lancaster, Union and York;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4 </w:t>
      </w:r>
      <w:r>
        <w:noBreakHyphen/>
      </w:r>
      <w:r>
        <w:tab/>
      </w:r>
      <w:r w:rsidRPr="00625F46">
        <w:t xml:space="preserve">Fairfield, Lexington, Newberry and Richland;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5</w:t>
      </w:r>
      <w:r>
        <w:t xml:space="preserve"> </w:t>
      </w:r>
      <w:r>
        <w:noBreakHyphen/>
      </w:r>
      <w:r>
        <w:tab/>
      </w:r>
      <w:r w:rsidRPr="00625F46">
        <w:t xml:space="preserve">Allendale, Aiken, Bamberg, Barnwell, Calhoun and Orangeburg;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6</w:t>
      </w:r>
      <w:r>
        <w:t xml:space="preserve"> </w:t>
      </w:r>
      <w:r>
        <w:noBreakHyphen/>
      </w:r>
      <w:r>
        <w:tab/>
      </w:r>
      <w:r w:rsidRPr="00625F46">
        <w:t xml:space="preserve">Clarendon, Kershaw, Lee and Sumter;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7</w:t>
      </w:r>
      <w:r>
        <w:t xml:space="preserve"> </w:t>
      </w:r>
      <w:r>
        <w:noBreakHyphen/>
      </w:r>
      <w:r>
        <w:tab/>
      </w:r>
      <w:r w:rsidRPr="00625F46">
        <w:t xml:space="preserve">Chesterfield, Darlington, Dillon, Florence, Marion and Marlboro;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8</w:t>
      </w:r>
      <w:r>
        <w:t xml:space="preserve"> </w:t>
      </w:r>
      <w:r>
        <w:noBreakHyphen/>
      </w:r>
      <w:r>
        <w:tab/>
      </w:r>
      <w:r w:rsidRPr="00625F46">
        <w:t xml:space="preserve">Georgetown, Horry and Williamsburg;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9</w:t>
      </w:r>
      <w:r>
        <w:t xml:space="preserve"> </w:t>
      </w:r>
      <w:r>
        <w:noBreakHyphen/>
      </w:r>
      <w:r>
        <w:tab/>
      </w:r>
      <w:r w:rsidRPr="00625F46">
        <w:t>Berkel</w:t>
      </w:r>
      <w:r>
        <w:t xml:space="preserve">ey, Charleston and Dorchester; </w:t>
      </w:r>
      <w:r w:rsidRPr="00625F46">
        <w:t xml:space="preserve">and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10</w:t>
      </w:r>
      <w:r>
        <w:t xml:space="preserve"> </w:t>
      </w:r>
      <w:r>
        <w:noBreakHyphen/>
      </w:r>
      <w:r>
        <w:tab/>
      </w:r>
      <w:r w:rsidRPr="00625F46">
        <w:t xml:space="preserve">Beaufort, Colleton, Hampton and Jasper.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 xml:space="preserve">At least two counties within the foregoing geographic groupings </w:t>
      </w:r>
      <w:r w:rsidRPr="004F37AA">
        <w:rPr>
          <w:strike/>
        </w:rPr>
        <w:t>shall</w:t>
      </w:r>
      <w:r w:rsidR="004F37AA">
        <w:rPr>
          <w:u w:val="single"/>
        </w:rPr>
        <w:t>must</w:t>
      </w:r>
      <w:r w:rsidRPr="00625F46">
        <w:t xml:space="preserve"> be necessary participants in order to form such regional councils of government, and no county shall belong to more than one such regional council of government.  The governing bodies of municipalities lying within a county </w:t>
      </w:r>
      <w:r w:rsidRPr="004F37AA">
        <w:rPr>
          <w:strike/>
        </w:rPr>
        <w:t>which</w:t>
      </w:r>
      <w:r w:rsidR="004F37AA">
        <w:rPr>
          <w:u w:val="single"/>
        </w:rPr>
        <w:t>that</w:t>
      </w:r>
      <w:r w:rsidRPr="00625F46">
        <w:t xml:space="preserve"> is a part of one of the foregoing geographic areas may participate as a member of such regional council of government, irrespective of whether the county within which such municipality lies is or is not a member, by approval of the agreement creating the regional council of government, and no municipality shall belong to more than one such council of government.  In those municipalities which may be bisected by county lines, the municipality shall participate in the geographic grouping, as set forth above, within which the major portion of its population lies. </w:t>
      </w:r>
    </w:p>
    <w:p w:rsidR="00F42734" w:rsidRPr="00C353FF"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F1A53">
        <w:tab/>
      </w:r>
      <w:r w:rsidRPr="00C353FF">
        <w:rPr>
          <w:strike/>
        </w:rPr>
        <w:t>In Georgetown County, appointments made pursuant to this section are governed by the</w:t>
      </w:r>
      <w:r>
        <w:rPr>
          <w:strike/>
        </w:rPr>
        <w:t xml:space="preserve"> provisions of Act 515 of 1996.</w:t>
      </w:r>
      <w:r w:rsidRPr="00EF1A53">
        <w:t>”</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Act 515 of 1996, as last amended by Act 200 of 2005, is further amended to read:</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1.</w:t>
      </w:r>
      <w:r>
        <w:tab/>
      </w:r>
      <w:r>
        <w:rPr>
          <w:color w:val="000000" w:themeColor="text1"/>
          <w:u w:color="000000" w:themeColor="text1"/>
        </w:rPr>
        <w:t>(A)(1)</w:t>
      </w:r>
      <w:r>
        <w:rPr>
          <w:color w:val="000000" w:themeColor="text1"/>
          <w:u w:color="000000" w:themeColor="text1"/>
        </w:rPr>
        <w:tab/>
      </w:r>
      <w:r w:rsidRPr="00B13E5D">
        <w:rPr>
          <w:color w:val="000000" w:themeColor="text1"/>
          <w:u w:color="000000" w:themeColor="text1"/>
        </w:rPr>
        <w:t xml:space="preserve">Except for those instances exempted in subsection (B), in all cases where appointments to offices, boards, and commissions are made by or upon the recommendation of the House Delegation, the Senate Delegation, or the Joint Legislative Delegation of Georgetown County, or by </w:t>
      </w:r>
      <w:r w:rsidRPr="004F37AA">
        <w:rPr>
          <w:strike/>
          <w:color w:val="000000" w:themeColor="text1"/>
          <w:u w:color="000000" w:themeColor="text1"/>
        </w:rPr>
        <w:t>any other</w:t>
      </w:r>
      <w:r w:rsidR="004F37AA">
        <w:rPr>
          <w:color w:val="000000" w:themeColor="text1"/>
          <w:u w:val="single" w:color="000000" w:themeColor="text1"/>
        </w:rPr>
        <w:t>another</w:t>
      </w:r>
      <w:r w:rsidRPr="00B13E5D">
        <w:rPr>
          <w:color w:val="000000" w:themeColor="text1"/>
          <w:u w:color="000000" w:themeColor="text1"/>
        </w:rPr>
        <w:t xml:space="preserve"> member or combination of members of the General Assembly by reason of their representing all or a portion of Georgetown County, all </w:t>
      </w:r>
      <w:r w:rsidRPr="00332E60">
        <w:rPr>
          <w:strike/>
          <w:color w:val="000000" w:themeColor="text1"/>
          <w:u w:color="000000" w:themeColor="text1"/>
        </w:rPr>
        <w:t>said</w:t>
      </w:r>
      <w:r w:rsidRPr="00B13E5D">
        <w:rPr>
          <w:color w:val="000000" w:themeColor="text1"/>
          <w:u w:color="000000" w:themeColor="text1"/>
        </w:rPr>
        <w:t xml:space="preserve"> </w:t>
      </w:r>
      <w:r>
        <w:rPr>
          <w:color w:val="000000" w:themeColor="text1"/>
          <w:u w:val="single" w:color="000000" w:themeColor="text1"/>
        </w:rPr>
        <w:t>such</w:t>
      </w:r>
      <w:r>
        <w:rPr>
          <w:color w:val="000000" w:themeColor="text1"/>
          <w:u w:color="000000" w:themeColor="text1"/>
        </w:rPr>
        <w:t xml:space="preserve"> </w:t>
      </w:r>
      <w:r w:rsidRPr="00B13E5D">
        <w:rPr>
          <w:color w:val="000000" w:themeColor="text1"/>
          <w:u w:color="000000" w:themeColor="text1"/>
        </w:rPr>
        <w:t xml:space="preserve">appointments must be made by or upon the recommendation of a majority of the members of the governing body of Georgetown County if, and to the extent that, the governing body of Georgetown County by ordinance or resolution agrees to accept the responsibility and the authority for making those appointments and notifies the Code Commissioner and the Secretary of State of its acceptance. All appointments and recommendations must be made without regard to race, religion, color, sex, or national origin.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 xml:space="preserve">The application of subsection (A) includes, but is not limited to: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Name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 xml:space="preserve">Authority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13E5D">
        <w:rPr>
          <w:color w:val="000000" w:themeColor="text1"/>
          <w:u w:color="000000" w:themeColor="text1"/>
        </w:rPr>
        <w:t>Forestry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48</w:t>
      </w:r>
      <w:r>
        <w:rPr>
          <w:color w:val="000000" w:themeColor="text1"/>
          <w:u w:color="000000" w:themeColor="text1"/>
        </w:rPr>
        <w:noBreakHyphen/>
      </w:r>
      <w:r w:rsidRPr="00B13E5D">
        <w:rPr>
          <w:color w:val="000000" w:themeColor="text1"/>
          <w:u w:color="000000" w:themeColor="text1"/>
        </w:rPr>
        <w:t>33</w:t>
      </w:r>
      <w:r>
        <w:rPr>
          <w:color w:val="000000" w:themeColor="text1"/>
          <w:u w:color="000000" w:themeColor="text1"/>
        </w:rPr>
        <w:noBreakHyphen/>
      </w:r>
      <w:r w:rsidRPr="00B13E5D">
        <w:rPr>
          <w:color w:val="000000" w:themeColor="text1"/>
          <w:u w:color="000000" w:themeColor="text1"/>
        </w:rPr>
        <w:t xml:space="preserve">50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Veterans Affairs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25</w:t>
      </w:r>
      <w:r>
        <w:rPr>
          <w:color w:val="000000" w:themeColor="text1"/>
          <w:u w:color="000000" w:themeColor="text1"/>
        </w:rPr>
        <w:noBreakHyphen/>
      </w:r>
      <w:r w:rsidRPr="00B13E5D">
        <w:rPr>
          <w:color w:val="000000" w:themeColor="text1"/>
          <w:u w:color="000000" w:themeColor="text1"/>
        </w:rPr>
        <w:t>11</w:t>
      </w:r>
      <w:r>
        <w:rPr>
          <w:color w:val="000000" w:themeColor="text1"/>
          <w:u w:color="000000" w:themeColor="text1"/>
        </w:rPr>
        <w:noBreakHyphen/>
      </w:r>
      <w:r w:rsidRPr="00B13E5D">
        <w:rPr>
          <w:color w:val="000000" w:themeColor="text1"/>
          <w:u w:color="000000" w:themeColor="text1"/>
        </w:rPr>
        <w:t xml:space="preserve">40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13E5D">
        <w:rPr>
          <w:color w:val="000000" w:themeColor="text1"/>
          <w:u w:color="000000" w:themeColor="text1"/>
        </w:rPr>
        <w:t xml:space="preserve">County Department of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r>
      <w:r>
        <w:rPr>
          <w:color w:val="000000" w:themeColor="text1"/>
          <w:u w:color="000000" w:themeColor="text1"/>
        </w:rPr>
        <w:tab/>
      </w:r>
      <w:r w:rsidRPr="00B13E5D">
        <w:rPr>
          <w:color w:val="000000" w:themeColor="text1"/>
          <w:u w:color="000000" w:themeColor="text1"/>
        </w:rPr>
        <w:t>Social Services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43</w:t>
      </w:r>
      <w:r>
        <w:rPr>
          <w:color w:val="000000" w:themeColor="text1"/>
          <w:u w:color="000000" w:themeColor="text1"/>
        </w:rPr>
        <w:noBreakHyphen/>
      </w:r>
      <w:r w:rsidRPr="00B13E5D">
        <w:rPr>
          <w:color w:val="000000" w:themeColor="text1"/>
          <w:u w:color="000000" w:themeColor="text1"/>
        </w:rPr>
        <w:t>3</w:t>
      </w:r>
      <w:r>
        <w:rPr>
          <w:color w:val="000000" w:themeColor="text1"/>
          <w:u w:color="000000" w:themeColor="text1"/>
        </w:rPr>
        <w:noBreakHyphen/>
      </w:r>
      <w:r w:rsidRPr="00B13E5D">
        <w:rPr>
          <w:color w:val="000000" w:themeColor="text1"/>
          <w:u w:color="000000" w:themeColor="text1"/>
        </w:rPr>
        <w:t xml:space="preserve">10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C18AE">
        <w:rPr>
          <w:color w:val="000000" w:themeColor="text1"/>
          <w:u w:color="000000" w:themeColor="text1"/>
        </w:rPr>
        <w:t>Vacant</w:t>
      </w:r>
      <w:r>
        <w:rPr>
          <w:color w:val="000000" w:themeColor="text1"/>
          <w:u w:color="000000" w:themeColor="text1"/>
        </w:rPr>
        <w:t xml:space="preserve"> </w:t>
      </w:r>
      <w:r w:rsidRPr="008D07DC">
        <w:rPr>
          <w:color w:val="000000" w:themeColor="text1"/>
          <w:u w:color="000000" w:themeColor="text1"/>
        </w:rPr>
        <w:tab/>
      </w:r>
      <w:r w:rsidRPr="008D07DC">
        <w:rPr>
          <w:color w:val="000000" w:themeColor="text1"/>
          <w:u w:color="000000" w:themeColor="text1"/>
        </w:rPr>
        <w:tab/>
      </w:r>
      <w:r w:rsidRPr="00B13E5D">
        <w:rPr>
          <w:color w:val="000000" w:themeColor="text1"/>
          <w:u w:color="000000" w:themeColor="text1"/>
        </w:rPr>
        <w:t xml:space="preserve">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B13E5D">
        <w:rPr>
          <w:color w:val="000000" w:themeColor="text1"/>
          <w:u w:color="000000" w:themeColor="text1"/>
        </w:rPr>
        <w:t xml:space="preserve">Department of Disabilities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r>
      <w:r w:rsidRPr="00B13E5D">
        <w:rPr>
          <w:color w:val="000000" w:themeColor="text1"/>
          <w:u w:color="000000" w:themeColor="text1"/>
        </w:rPr>
        <w:t>and Special N</w:t>
      </w:r>
      <w:r>
        <w:rPr>
          <w:color w:val="000000" w:themeColor="text1"/>
          <w:u w:color="000000" w:themeColor="text1"/>
        </w:rPr>
        <w:t>eeds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44</w:t>
      </w:r>
      <w:r>
        <w:rPr>
          <w:color w:val="000000" w:themeColor="text1"/>
          <w:u w:color="000000" w:themeColor="text1"/>
        </w:rPr>
        <w:noBreakHyphen/>
      </w:r>
      <w:r w:rsidRPr="00B13E5D">
        <w:rPr>
          <w:color w:val="000000" w:themeColor="text1"/>
          <w:u w:color="000000" w:themeColor="text1"/>
        </w:rPr>
        <w:t>20</w:t>
      </w:r>
      <w:r>
        <w:rPr>
          <w:color w:val="000000" w:themeColor="text1"/>
          <w:u w:color="000000" w:themeColor="text1"/>
        </w:rPr>
        <w:noBreakHyphen/>
      </w:r>
      <w:r w:rsidRPr="00B13E5D">
        <w:rPr>
          <w:color w:val="000000" w:themeColor="text1"/>
          <w:u w:color="000000" w:themeColor="text1"/>
        </w:rPr>
        <w:t xml:space="preserve">375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Foster Care Review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20</w:t>
      </w:r>
      <w:r>
        <w:rPr>
          <w:color w:val="000000" w:themeColor="text1"/>
          <w:u w:color="000000" w:themeColor="text1"/>
        </w:rPr>
        <w:noBreakHyphen/>
      </w:r>
      <w:r w:rsidRPr="00B13E5D">
        <w:rPr>
          <w:color w:val="000000" w:themeColor="text1"/>
          <w:u w:color="000000" w:themeColor="text1"/>
        </w:rPr>
        <w:t>7</w:t>
      </w:r>
      <w:r>
        <w:rPr>
          <w:color w:val="000000" w:themeColor="text1"/>
          <w:u w:color="000000" w:themeColor="text1"/>
        </w:rPr>
        <w:noBreakHyphen/>
      </w:r>
      <w:r w:rsidRPr="00B13E5D">
        <w:rPr>
          <w:color w:val="000000" w:themeColor="text1"/>
          <w:u w:color="000000" w:themeColor="text1"/>
        </w:rPr>
        <w:t xml:space="preserve">2385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B13E5D">
        <w:rPr>
          <w:color w:val="000000" w:themeColor="text1"/>
          <w:u w:color="000000" w:themeColor="text1"/>
        </w:rPr>
        <w:t>Mental</w:t>
      </w:r>
      <w:r>
        <w:rPr>
          <w:color w:val="000000" w:themeColor="text1"/>
          <w:u w:color="000000" w:themeColor="text1"/>
        </w:rPr>
        <w:t xml:space="preserve"> Health Center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44</w:t>
      </w:r>
      <w:r>
        <w:rPr>
          <w:color w:val="000000" w:themeColor="text1"/>
          <w:u w:color="000000" w:themeColor="text1"/>
        </w:rPr>
        <w:noBreakHyphen/>
      </w:r>
      <w:r w:rsidRPr="00B13E5D">
        <w:rPr>
          <w:color w:val="000000" w:themeColor="text1"/>
          <w:u w:color="000000" w:themeColor="text1"/>
        </w:rPr>
        <w:t>15</w:t>
      </w:r>
      <w:r>
        <w:rPr>
          <w:color w:val="000000" w:themeColor="text1"/>
          <w:u w:color="000000" w:themeColor="text1"/>
        </w:rPr>
        <w:noBreakHyphen/>
      </w:r>
      <w:r w:rsidRPr="00B13E5D">
        <w:rPr>
          <w:color w:val="000000" w:themeColor="text1"/>
          <w:u w:color="000000" w:themeColor="text1"/>
        </w:rPr>
        <w:t xml:space="preserve">60 </w:t>
      </w:r>
    </w:p>
    <w:p w:rsidR="00F42734" w:rsidRPr="00E10A52"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C18AE">
        <w:rPr>
          <w:color w:val="000000" w:themeColor="text1"/>
          <w:u w:color="000000" w:themeColor="text1"/>
        </w:rPr>
        <w:t xml:space="preserve">Vacant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B13E5D">
        <w:rPr>
          <w:color w:val="000000" w:themeColor="text1"/>
          <w:u w:color="000000" w:themeColor="text1"/>
        </w:rPr>
        <w:t xml:space="preserve">Economic Opportunity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r>
      <w:r>
        <w:rPr>
          <w:color w:val="000000" w:themeColor="text1"/>
          <w:u w:color="000000" w:themeColor="text1"/>
        </w:rPr>
        <w:t>Commission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w:t>
      </w:r>
      <w:r>
        <w:rPr>
          <w:color w:val="000000" w:themeColor="text1"/>
          <w:u w:color="000000" w:themeColor="text1"/>
        </w:rPr>
        <w:noBreakHyphen/>
      </w:r>
      <w:r w:rsidRPr="00B13E5D">
        <w:rPr>
          <w:color w:val="000000" w:themeColor="text1"/>
          <w:u w:color="000000" w:themeColor="text1"/>
        </w:rPr>
        <w:t>31</w:t>
      </w:r>
      <w:r>
        <w:rPr>
          <w:color w:val="000000" w:themeColor="text1"/>
          <w:u w:color="000000" w:themeColor="text1"/>
        </w:rPr>
        <w:noBreakHyphen/>
      </w:r>
      <w:r w:rsidRPr="00B13E5D">
        <w:rPr>
          <w:color w:val="000000" w:themeColor="text1"/>
          <w:u w:color="000000" w:themeColor="text1"/>
        </w:rPr>
        <w:t xml:space="preserve">330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B13E5D">
        <w:rPr>
          <w:color w:val="000000" w:themeColor="text1"/>
          <w:u w:color="000000" w:themeColor="text1"/>
        </w:rPr>
        <w:t xml:space="preserve">Georgetown Pilotage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r>
      <w:r w:rsidRPr="00B13E5D">
        <w:rPr>
          <w:color w:val="000000" w:themeColor="text1"/>
          <w:u w:color="000000" w:themeColor="text1"/>
        </w:rPr>
        <w:t>Commissio</w:t>
      </w:r>
      <w:r>
        <w:rPr>
          <w:color w:val="000000" w:themeColor="text1"/>
          <w:u w:color="000000" w:themeColor="text1"/>
        </w:rPr>
        <w:t>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54</w:t>
      </w:r>
      <w:r>
        <w:rPr>
          <w:color w:val="000000" w:themeColor="text1"/>
          <w:u w:color="000000" w:themeColor="text1"/>
        </w:rPr>
        <w:noBreakHyphen/>
      </w:r>
      <w:r w:rsidRPr="00B13E5D">
        <w:rPr>
          <w:color w:val="000000" w:themeColor="text1"/>
          <w:u w:color="000000" w:themeColor="text1"/>
        </w:rPr>
        <w:t>15</w:t>
      </w:r>
      <w:r>
        <w:rPr>
          <w:color w:val="000000" w:themeColor="text1"/>
          <w:u w:color="000000" w:themeColor="text1"/>
        </w:rPr>
        <w:noBreakHyphen/>
      </w:r>
      <w:r w:rsidRPr="00B13E5D">
        <w:rPr>
          <w:color w:val="000000" w:themeColor="text1"/>
          <w:u w:color="000000" w:themeColor="text1"/>
        </w:rPr>
        <w:t xml:space="preserve">10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B13E5D">
        <w:rPr>
          <w:color w:val="000000" w:themeColor="text1"/>
          <w:u w:color="000000" w:themeColor="text1"/>
        </w:rPr>
        <w:t>Murrell</w:t>
      </w:r>
      <w:r w:rsidRPr="00D8797F">
        <w:rPr>
          <w:color w:val="000000" w:themeColor="text1"/>
          <w:u w:color="000000" w:themeColor="text1"/>
        </w:rPr>
        <w:t>’</w:t>
      </w:r>
      <w:r w:rsidRPr="00B13E5D">
        <w:rPr>
          <w:color w:val="000000" w:themeColor="text1"/>
          <w:u w:color="000000" w:themeColor="text1"/>
        </w:rPr>
        <w:t xml:space="preserve">s Inlet </w:t>
      </w:r>
      <w:r>
        <w:rPr>
          <w:color w:val="000000" w:themeColor="text1"/>
          <w:u w:color="000000" w:themeColor="text1"/>
        </w:rPr>
        <w:noBreakHyphen/>
      </w:r>
      <w:r w:rsidRPr="00B13E5D">
        <w:rPr>
          <w:color w:val="000000" w:themeColor="text1"/>
          <w:u w:color="000000" w:themeColor="text1"/>
        </w:rPr>
        <w:t xml:space="preserve">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r>
      <w:r w:rsidRPr="00B13E5D">
        <w:rPr>
          <w:color w:val="000000" w:themeColor="text1"/>
          <w:u w:color="000000" w:themeColor="text1"/>
        </w:rPr>
        <w:t>Garden Ci</w:t>
      </w:r>
      <w:r>
        <w:rPr>
          <w:color w:val="000000" w:themeColor="text1"/>
          <w:u w:color="000000" w:themeColor="text1"/>
        </w:rPr>
        <w:t>ty Fire District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 xml:space="preserve">Act 876 of 1966 </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E10A52">
        <w:rPr>
          <w:strike/>
          <w:color w:val="000000" w:themeColor="text1"/>
          <w:u w:color="000000" w:themeColor="text1"/>
        </w:rPr>
        <w:t>Vacant</w:t>
      </w:r>
      <w:r w:rsidRPr="00B13E5D">
        <w:rPr>
          <w:color w:val="000000" w:themeColor="text1"/>
          <w:u w:color="000000" w:themeColor="text1"/>
        </w:rPr>
        <w:t xml:space="preserve"> </w:t>
      </w:r>
      <w:r>
        <w:rPr>
          <w:color w:val="000000" w:themeColor="text1"/>
          <w:u w:val="single" w:color="000000" w:themeColor="text1"/>
        </w:rPr>
        <w:t>Waccamaw Regional</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t xml:space="preserve"> </w:t>
      </w:r>
      <w:r>
        <w:rPr>
          <w:color w:val="000000" w:themeColor="text1"/>
          <w:u w:val="single" w:color="000000" w:themeColor="text1"/>
        </w:rPr>
        <w:t>Planning Council</w:t>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Pr>
          <w:color w:val="000000" w:themeColor="text1"/>
          <w:u w:val="single" w:color="000000" w:themeColor="text1"/>
        </w:rPr>
        <w:t>Section 6</w:t>
      </w:r>
      <w:r>
        <w:rPr>
          <w:color w:val="000000" w:themeColor="text1"/>
          <w:u w:val="single" w:color="000000" w:themeColor="text1"/>
        </w:rPr>
        <w:noBreakHyphen/>
        <w:t>7</w:t>
      </w:r>
      <w:r>
        <w:rPr>
          <w:color w:val="000000" w:themeColor="text1"/>
          <w:u w:val="single" w:color="000000" w:themeColor="text1"/>
        </w:rPr>
        <w:noBreakHyphen/>
        <w:t>110</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D5B">
        <w:rPr>
          <w:color w:val="000000" w:themeColor="text1"/>
          <w:u w:color="000000" w:themeColor="text1"/>
        </w:rPr>
        <w:tab/>
      </w:r>
      <w:r>
        <w:rPr>
          <w:color w:val="000000" w:themeColor="text1"/>
          <w:u w:color="000000" w:themeColor="text1"/>
        </w:rPr>
        <w:tab/>
      </w:r>
      <w:r w:rsidRPr="00B13E5D">
        <w:rPr>
          <w:color w:val="000000" w:themeColor="text1"/>
          <w:u w:color="000000" w:themeColor="text1"/>
        </w:rPr>
        <w:t>(B)</w:t>
      </w:r>
      <w:r>
        <w:rPr>
          <w:color w:val="000000" w:themeColor="text1"/>
          <w:u w:color="000000" w:themeColor="text1"/>
        </w:rPr>
        <w:tab/>
      </w:r>
      <w:r w:rsidRPr="00B13E5D">
        <w:rPr>
          <w:color w:val="000000" w:themeColor="text1"/>
          <w:u w:color="000000" w:themeColor="text1"/>
        </w:rPr>
        <w:t>The appointment of magistrates as provided in Section 22</w:t>
      </w:r>
      <w:r>
        <w:rPr>
          <w:color w:val="000000" w:themeColor="text1"/>
          <w:u w:color="000000" w:themeColor="text1"/>
        </w:rPr>
        <w:noBreakHyphen/>
      </w:r>
      <w:r w:rsidRPr="00B13E5D">
        <w:rPr>
          <w:color w:val="000000" w:themeColor="text1"/>
          <w:u w:color="000000" w:themeColor="text1"/>
        </w:rPr>
        <w:t>1</w:t>
      </w:r>
      <w:r>
        <w:rPr>
          <w:color w:val="000000" w:themeColor="text1"/>
          <w:u w:color="000000" w:themeColor="text1"/>
        </w:rPr>
        <w:noBreakHyphen/>
      </w:r>
      <w:r w:rsidRPr="00B13E5D">
        <w:rPr>
          <w:color w:val="000000" w:themeColor="text1"/>
          <w:u w:color="000000" w:themeColor="text1"/>
        </w:rPr>
        <w:t>10 and the appointment of members of the Georgetown Water and Sewer District a</w:t>
      </w:r>
      <w:r>
        <w:rPr>
          <w:color w:val="000000" w:themeColor="text1"/>
          <w:u w:color="000000" w:themeColor="text1"/>
        </w:rPr>
        <w:t xml:space="preserve">s provided for in Act 733 of </w:t>
      </w:r>
      <w:r w:rsidRPr="00724058">
        <w:rPr>
          <w:strike/>
          <w:color w:val="000000" w:themeColor="text1"/>
          <w:u w:color="000000" w:themeColor="text1"/>
        </w:rPr>
        <w:t>1957</w:t>
      </w:r>
      <w:r>
        <w:rPr>
          <w:color w:val="000000" w:themeColor="text1"/>
          <w:u w:color="000000" w:themeColor="text1"/>
        </w:rPr>
        <w:t xml:space="preserve"> </w:t>
      </w:r>
      <w:r w:rsidRPr="00724058">
        <w:rPr>
          <w:color w:val="000000" w:themeColor="text1"/>
          <w:u w:val="single" w:color="000000" w:themeColor="text1"/>
        </w:rPr>
        <w:t>1967</w:t>
      </w:r>
      <w:r w:rsidRPr="00B13E5D">
        <w:rPr>
          <w:color w:val="000000" w:themeColor="text1"/>
          <w:u w:color="000000" w:themeColor="text1"/>
        </w:rPr>
        <w:t xml:space="preserve"> are unaffected by the provisions of this act.” </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As required and in the manner provided by Section 3 of Act 515 of 1996, the governing body of Georgetown County must accept the appointment authority regarding the entity added to Section 1 of Act 515 of 1996 by the provisions of this act.</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 of Act 197 of 1999 is deleted.</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19215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2152" w:rsidRDefault="00192152" w:rsidP="000B3991">
      <w:pPr>
        <w:suppressAutoHyphens/>
      </w:pPr>
    </w:p>
    <w:sectPr w:rsidR="00192152" w:rsidSect="000B39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9D3" w:rsidRDefault="002E59D3" w:rsidP="009F0C77">
      <w:r>
        <w:separator/>
      </w:r>
    </w:p>
  </w:endnote>
  <w:endnote w:type="continuationSeparator" w:id="0">
    <w:p w:rsidR="002E59D3" w:rsidRDefault="002E59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8901AB-F426-4D44-B9A0-76E1FE2B297A}"/>
    <w:embedBold r:id="rId2" w:fontKey="{CDD7C961-CE4D-4645-BA04-A627A15C5FA4}"/>
  </w:font>
  <w:font w:name="Calibri">
    <w:panose1 w:val="020F0502020204030204"/>
    <w:charset w:val="00"/>
    <w:family w:val="swiss"/>
    <w:pitch w:val="variable"/>
    <w:sig w:usb0="E10002FF" w:usb1="4000ACFF" w:usb2="00000009" w:usb3="00000000" w:csb0="0000019F" w:csb1="00000000"/>
    <w:embedRegular r:id="rId3" w:fontKey="{808B29A4-197D-452C-A4C0-6125F07035B6}"/>
  </w:font>
  <w:font w:name="Tahoma">
    <w:panose1 w:val="020B0604030504040204"/>
    <w:charset w:val="00"/>
    <w:family w:val="swiss"/>
    <w:pitch w:val="variable"/>
    <w:sig w:usb0="21002A87" w:usb1="80000000" w:usb2="00000008" w:usb3="00000000" w:csb0="000101FF" w:csb1="00000000"/>
    <w:embedRegular r:id="rId4" w:fontKey="{5CAF31AF-1C72-48C3-8AE8-5F0F0955854F}"/>
  </w:font>
  <w:font w:name="Cambria">
    <w:panose1 w:val="02040503050406030204"/>
    <w:charset w:val="00"/>
    <w:family w:val="roman"/>
    <w:pitch w:val="variable"/>
    <w:sig w:usb0="E00002FF" w:usb1="400004FF" w:usb2="00000000" w:usb3="00000000" w:csb0="0000019F" w:csb1="00000000"/>
    <w:embedRegular r:id="rId5" w:fontKey="{12645026-E851-4E01-B761-21B2B84B7D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991" w:rsidRPr="00192152" w:rsidRDefault="000B3991" w:rsidP="00192152">
    <w:pPr>
      <w:pStyle w:val="Footer"/>
      <w:tabs>
        <w:tab w:val="clear" w:pos="4680"/>
        <w:tab w:val="clear" w:pos="9360"/>
        <w:tab w:val="center" w:pos="2995"/>
      </w:tabs>
      <w:spacing w:before="120"/>
    </w:pPr>
    <w:r>
      <w:t>[1136]</w:t>
    </w:r>
    <w:r>
      <w:tab/>
    </w:r>
    <w:r w:rsidR="00C23D21">
      <w:fldChar w:fldCharType="begin"/>
    </w:r>
    <w:r w:rsidR="00C23D21">
      <w:instrText xml:space="preserve"> PAGE  \* MERGEFORMAT </w:instrText>
    </w:r>
    <w:r w:rsidR="00C23D21">
      <w:fldChar w:fldCharType="separate"/>
    </w:r>
    <w:r w:rsidR="00C23D21">
      <w:rPr>
        <w:noProof/>
      </w:rPr>
      <w:t>1</w:t>
    </w:r>
    <w:r w:rsidR="00C23D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9D3" w:rsidRDefault="002E59D3" w:rsidP="009F0C77">
      <w:r>
        <w:separator/>
      </w:r>
    </w:p>
  </w:footnote>
  <w:footnote w:type="continuationSeparator" w:id="0">
    <w:p w:rsidR="002E59D3" w:rsidRDefault="002E59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29ZW12"/>
    <w:docVar w:name="CoverBillType" w:val="b"/>
    <w:docVar w:name="docpath" w:val="L:\Council\bills\GGS\22229ZW12.DOCX"/>
    <w:docVar w:name="dvBillNumber" w:val="1136"/>
    <w:docVar w:name="dvBillNumberPrefix" w:val="S. "/>
    <w:docVar w:name="dvOriginalBody" w:val="Senate"/>
    <w:docVar w:name="dvSteno" w:val="GGS"/>
    <w:docVar w:name="NameofBody" w:val="s"/>
    <w:docVar w:name="vgroup2" w:val="Council"/>
  </w:docVars>
  <w:rsids>
    <w:rsidRoot w:val="001B6A2C"/>
    <w:rsid w:val="000039A9"/>
    <w:rsid w:val="00026C9A"/>
    <w:rsid w:val="00075B63"/>
    <w:rsid w:val="000965A1"/>
    <w:rsid w:val="000B3991"/>
    <w:rsid w:val="000E1785"/>
    <w:rsid w:val="001023A4"/>
    <w:rsid w:val="0010776B"/>
    <w:rsid w:val="00133E66"/>
    <w:rsid w:val="00134ACF"/>
    <w:rsid w:val="00144E15"/>
    <w:rsid w:val="00151F86"/>
    <w:rsid w:val="00192152"/>
    <w:rsid w:val="001A4A62"/>
    <w:rsid w:val="001A681E"/>
    <w:rsid w:val="001B6A2C"/>
    <w:rsid w:val="001D08F2"/>
    <w:rsid w:val="002037CA"/>
    <w:rsid w:val="002047A2"/>
    <w:rsid w:val="002321B6"/>
    <w:rsid w:val="0023696B"/>
    <w:rsid w:val="00250967"/>
    <w:rsid w:val="002759C5"/>
    <w:rsid w:val="00277DEE"/>
    <w:rsid w:val="00280D88"/>
    <w:rsid w:val="00294ABE"/>
    <w:rsid w:val="002A3EB4"/>
    <w:rsid w:val="002A50D1"/>
    <w:rsid w:val="002E59D3"/>
    <w:rsid w:val="00325348"/>
    <w:rsid w:val="00393688"/>
    <w:rsid w:val="003D411E"/>
    <w:rsid w:val="003E3C1E"/>
    <w:rsid w:val="003E6148"/>
    <w:rsid w:val="00400EAA"/>
    <w:rsid w:val="0041760A"/>
    <w:rsid w:val="00462A72"/>
    <w:rsid w:val="004809EE"/>
    <w:rsid w:val="004A0ACC"/>
    <w:rsid w:val="004E0DC6"/>
    <w:rsid w:val="004F37AA"/>
    <w:rsid w:val="00511EE9"/>
    <w:rsid w:val="00521E00"/>
    <w:rsid w:val="00577C6C"/>
    <w:rsid w:val="0058501B"/>
    <w:rsid w:val="00602147"/>
    <w:rsid w:val="006215AA"/>
    <w:rsid w:val="006340D9"/>
    <w:rsid w:val="00643B8E"/>
    <w:rsid w:val="00665EBC"/>
    <w:rsid w:val="0069470D"/>
    <w:rsid w:val="006A476C"/>
    <w:rsid w:val="006B6740"/>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52BE4"/>
    <w:rsid w:val="0097082F"/>
    <w:rsid w:val="00990668"/>
    <w:rsid w:val="009E655F"/>
    <w:rsid w:val="009F0C77"/>
    <w:rsid w:val="009F4DD1"/>
    <w:rsid w:val="00A43270"/>
    <w:rsid w:val="00A64E80"/>
    <w:rsid w:val="00A741D9"/>
    <w:rsid w:val="00A9741D"/>
    <w:rsid w:val="00AC348C"/>
    <w:rsid w:val="00AD4B17"/>
    <w:rsid w:val="00B26FA6"/>
    <w:rsid w:val="00B30BBF"/>
    <w:rsid w:val="00B31085"/>
    <w:rsid w:val="00B700A8"/>
    <w:rsid w:val="00B741CB"/>
    <w:rsid w:val="00B9043E"/>
    <w:rsid w:val="00B934F3"/>
    <w:rsid w:val="00BB6347"/>
    <w:rsid w:val="00BD2134"/>
    <w:rsid w:val="00C038D8"/>
    <w:rsid w:val="00C045DD"/>
    <w:rsid w:val="00C23D21"/>
    <w:rsid w:val="00C3136F"/>
    <w:rsid w:val="00C3483A"/>
    <w:rsid w:val="00C74E9D"/>
    <w:rsid w:val="00C82FD3"/>
    <w:rsid w:val="00CC6B7B"/>
    <w:rsid w:val="00CD3619"/>
    <w:rsid w:val="00CF4447"/>
    <w:rsid w:val="00D405E7"/>
    <w:rsid w:val="00D41D56"/>
    <w:rsid w:val="00D6260D"/>
    <w:rsid w:val="00D6662B"/>
    <w:rsid w:val="00D95E2F"/>
    <w:rsid w:val="00D970A9"/>
    <w:rsid w:val="00DA4FAF"/>
    <w:rsid w:val="00DB3AC0"/>
    <w:rsid w:val="00DE68F0"/>
    <w:rsid w:val="00DF3845"/>
    <w:rsid w:val="00DF7E17"/>
    <w:rsid w:val="00E116FD"/>
    <w:rsid w:val="00E50F0D"/>
    <w:rsid w:val="00EB00A2"/>
    <w:rsid w:val="00EB1BF3"/>
    <w:rsid w:val="00EF3EEE"/>
    <w:rsid w:val="00F149A7"/>
    <w:rsid w:val="00F42734"/>
    <w:rsid w:val="00F50BAF"/>
    <w:rsid w:val="00F52C10"/>
    <w:rsid w:val="00F81FFD"/>
    <w:rsid w:val="00F85228"/>
    <w:rsid w:val="00FB6773"/>
    <w:rsid w:val="00FF1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6E8342-66AA-4BC4-B03F-4179FEF2E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37AA"/>
    <w:rPr>
      <w:rFonts w:ascii="Tahoma" w:hAnsi="Tahoma" w:cs="Tahoma"/>
      <w:sz w:val="16"/>
      <w:szCs w:val="16"/>
    </w:rPr>
  </w:style>
  <w:style w:type="character" w:customStyle="1" w:styleId="BalloonTextChar">
    <w:name w:val="Balloon Text Char"/>
    <w:basedOn w:val="DefaultParagraphFont"/>
    <w:link w:val="BalloonText"/>
    <w:uiPriority w:val="99"/>
    <w:semiHidden/>
    <w:rsid w:val="004F37AA"/>
    <w:rPr>
      <w:rFonts w:ascii="Tahoma" w:eastAsia="Times New Roman" w:hAnsi="Tahoma" w:cs="Tahoma"/>
      <w:sz w:val="16"/>
      <w:szCs w:val="16"/>
    </w:rPr>
  </w:style>
  <w:style w:type="character" w:styleId="Hyperlink">
    <w:name w:val="Hyperlink"/>
    <w:basedOn w:val="DefaultParagraphFont"/>
    <w:uiPriority w:val="99"/>
    <w:unhideWhenUsed/>
    <w:rsid w:val="000B39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4-12.docx" TargetMode="External"/><Relationship Id="rId3" Type="http://schemas.openxmlformats.org/officeDocument/2006/relationships/settings" Target="settings.xml"/><Relationship Id="rId7" Type="http://schemas.openxmlformats.org/officeDocument/2006/relationships/hyperlink" Target="file:///h:\s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36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D42C2-9F26-428D-B9FB-15674B17C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892</Words>
  <Characters>4837</Characters>
  <Application>Microsoft Office Word</Application>
  <DocSecurity>4</DocSecurity>
  <Lines>157</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1136: Waccamaw Regional Planning Council - South Carolina Legislature Online</dc:title>
  <dc:subject/>
  <dc:creator>GloriaShackelford</dc:creator>
  <cp:keywords/>
  <dc:description/>
  <cp:lastModifiedBy>N Cumfer</cp:lastModifiedBy>
  <cp:revision>2</cp:revision>
  <cp:lastPrinted>2011-12-08T21:28:00Z</cp:lastPrinted>
  <dcterms:created xsi:type="dcterms:W3CDTF">2014-11-21T21:09:00Z</dcterms:created>
  <dcterms:modified xsi:type="dcterms:W3CDTF">2014-11-21T21:09:00Z</dcterms:modified>
</cp:coreProperties>
</file>