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63BA" w:rsidRDefault="005E63BA" w:rsidP="005E63BA">
      <w:pPr>
        <w:widowControl w:val="0"/>
        <w:jc w:val="center"/>
      </w:pPr>
      <w:bookmarkStart w:id="0" w:name="_GoBack"/>
      <w:bookmarkEnd w:id="0"/>
      <w:r w:rsidRPr="005E63BA">
        <w:rPr>
          <w:b/>
        </w:rPr>
        <w:t>South Carolina General Assembly</w:t>
      </w:r>
    </w:p>
    <w:p w:rsidR="005E63BA" w:rsidRDefault="005E63BA" w:rsidP="005E63BA">
      <w:pPr>
        <w:widowControl w:val="0"/>
        <w:jc w:val="center"/>
      </w:pPr>
      <w:r>
        <w:t>119th Session, 2011-2012</w:t>
      </w:r>
    </w:p>
    <w:p w:rsidR="005E63BA" w:rsidRDefault="005E63BA" w:rsidP="005E63BA">
      <w:pPr>
        <w:widowControl w:val="0"/>
      </w:pPr>
    </w:p>
    <w:p w:rsidR="005E63BA" w:rsidRDefault="005E63BA" w:rsidP="005E63BA">
      <w:pPr>
        <w:widowControl w:val="0"/>
        <w:rPr>
          <w:b/>
        </w:rPr>
      </w:pPr>
      <w:r w:rsidRPr="005E63BA">
        <w:rPr>
          <w:b/>
        </w:rPr>
        <w:t>S.</w:t>
      </w:r>
      <w:r>
        <w:rPr>
          <w:b/>
        </w:rPr>
        <w:t xml:space="preserve"> </w:t>
      </w:r>
      <w:r w:rsidRPr="005E63BA">
        <w:rPr>
          <w:b/>
        </w:rPr>
        <w:t>1436</w:t>
      </w:r>
    </w:p>
    <w:p w:rsidR="005E63BA" w:rsidRDefault="005E63BA" w:rsidP="005E63BA">
      <w:pPr>
        <w:widowControl w:val="0"/>
        <w:rPr>
          <w:b/>
        </w:rPr>
      </w:pPr>
    </w:p>
    <w:p w:rsidR="005E63BA" w:rsidRDefault="005E63BA" w:rsidP="005E63BA">
      <w:pPr>
        <w:widowControl w:val="0"/>
      </w:pPr>
      <w:r w:rsidRPr="005E63BA">
        <w:rPr>
          <w:b/>
        </w:rPr>
        <w:t>STATUS INFORMATION</w:t>
      </w:r>
    </w:p>
    <w:p w:rsidR="005E63BA" w:rsidRDefault="005E63BA" w:rsidP="005E63BA">
      <w:pPr>
        <w:widowControl w:val="0"/>
      </w:pPr>
    </w:p>
    <w:p w:rsidR="005E63BA" w:rsidRDefault="005E63BA" w:rsidP="005E63BA">
      <w:pPr>
        <w:widowControl w:val="0"/>
      </w:pPr>
      <w:r>
        <w:t>General Bill</w:t>
      </w:r>
    </w:p>
    <w:p w:rsidR="005E63BA" w:rsidRDefault="005E63BA" w:rsidP="005E63BA">
      <w:pPr>
        <w:widowControl w:val="0"/>
      </w:pPr>
      <w:r>
        <w:t>Sponsors: Senator Knotts</w:t>
      </w:r>
    </w:p>
    <w:p w:rsidR="005E63BA" w:rsidRDefault="005E63BA" w:rsidP="005E63BA">
      <w:pPr>
        <w:widowControl w:val="0"/>
      </w:pPr>
      <w:r>
        <w:t>Document Path: l:\s-res\jmk\003alco.rem.jmk.docx</w:t>
      </w:r>
    </w:p>
    <w:p w:rsidR="005E63BA" w:rsidRDefault="005E63BA" w:rsidP="005E63BA">
      <w:pPr>
        <w:widowControl w:val="0"/>
      </w:pPr>
    </w:p>
    <w:p w:rsidR="005E63BA" w:rsidRDefault="005E63BA" w:rsidP="005E63BA">
      <w:pPr>
        <w:widowControl w:val="0"/>
      </w:pPr>
      <w:r>
        <w:t>Introduced in the Senate on April 12, 2012</w:t>
      </w:r>
    </w:p>
    <w:p w:rsidR="005E63BA" w:rsidRDefault="005E63BA" w:rsidP="005E63BA">
      <w:pPr>
        <w:widowControl w:val="0"/>
      </w:pPr>
      <w:r>
        <w:t xml:space="preserve">Currently residing in the Senate Committee on </w:t>
      </w:r>
      <w:r w:rsidRPr="005E63BA">
        <w:rPr>
          <w:b/>
        </w:rPr>
        <w:t>Judiciary</w:t>
      </w:r>
    </w:p>
    <w:p w:rsidR="005E63BA" w:rsidRDefault="005E63BA" w:rsidP="005E63BA">
      <w:pPr>
        <w:widowControl w:val="0"/>
      </w:pPr>
    </w:p>
    <w:p w:rsidR="005E63BA" w:rsidRDefault="005E63BA" w:rsidP="005E63BA">
      <w:pPr>
        <w:widowControl w:val="0"/>
      </w:pPr>
      <w:r>
        <w:t xml:space="preserve">Summary: </w:t>
      </w:r>
      <w:r w:rsidR="00FD77F3">
        <w:t>Restaurants, taverns and bars</w:t>
      </w:r>
    </w:p>
    <w:p w:rsidR="005E63BA" w:rsidRDefault="005E63BA" w:rsidP="005E63BA">
      <w:pPr>
        <w:widowControl w:val="0"/>
      </w:pPr>
    </w:p>
    <w:p w:rsidR="005E63BA" w:rsidRDefault="005E63BA" w:rsidP="005E63BA">
      <w:pPr>
        <w:widowControl w:val="0"/>
      </w:pPr>
    </w:p>
    <w:p w:rsidR="005E63BA" w:rsidRDefault="005E63BA" w:rsidP="005E63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E63BA">
        <w:rPr>
          <w:b/>
        </w:rPr>
        <w:t>HISTORY OF LEGISLATIVE ACTIONS</w:t>
      </w:r>
    </w:p>
    <w:p w:rsidR="005E63BA" w:rsidRDefault="005E63BA" w:rsidP="005E63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E63BA" w:rsidRPr="005E63BA" w:rsidRDefault="005E63BA" w:rsidP="005E63B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E63BA">
        <w:rPr>
          <w:u w:val="single"/>
        </w:rPr>
        <w:tab/>
        <w:t>Date</w:t>
      </w:r>
      <w:r w:rsidRPr="005E63BA">
        <w:rPr>
          <w:u w:val="single"/>
        </w:rPr>
        <w:tab/>
        <w:t>Body</w:t>
      </w:r>
      <w:r w:rsidRPr="005E63BA">
        <w:rPr>
          <w:u w:val="single"/>
        </w:rPr>
        <w:tab/>
        <w:t>Action Description with journal page number</w:t>
      </w:r>
      <w:r w:rsidRPr="005E63BA">
        <w:rPr>
          <w:u w:val="single"/>
        </w:rPr>
        <w:tab/>
      </w:r>
    </w:p>
    <w:p w:rsidR="00C92530" w:rsidRDefault="00C92530" w:rsidP="00C92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4/12/2012</w:t>
      </w:r>
      <w:r>
        <w:tab/>
        <w:t>Senate</w:t>
      </w:r>
      <w:r>
        <w:tab/>
      </w:r>
      <w:r w:rsidRPr="00847289">
        <w:t>Introduced and read first time (</w:t>
      </w:r>
      <w:hyperlink r:id="rId6" w:history="1">
        <w:r w:rsidRPr="00847289">
          <w:rPr>
            <w:rStyle w:val="Hyperlink"/>
          </w:rPr>
          <w:t>Senate Journal</w:t>
        </w:r>
        <w:r w:rsidRPr="00847289">
          <w:rPr>
            <w:rStyle w:val="Hyperlink"/>
          </w:rPr>
          <w:noBreakHyphen/>
          <w:t>page 5</w:t>
        </w:r>
      </w:hyperlink>
      <w:r w:rsidRPr="00847289">
        <w:t>)</w:t>
      </w:r>
    </w:p>
    <w:p w:rsidR="00C92530" w:rsidRDefault="00C92530" w:rsidP="00C92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4/12/2012</w:t>
      </w:r>
      <w:r>
        <w:tab/>
        <w:t>Senate</w:t>
      </w:r>
      <w:r>
        <w:tab/>
      </w:r>
      <w:r w:rsidRPr="00847289">
        <w:t>Ref</w:t>
      </w:r>
      <w:r>
        <w:t xml:space="preserve">erred to Committee on </w:t>
      </w:r>
      <w:r w:rsidRPr="00847289">
        <w:rPr>
          <w:b/>
        </w:rPr>
        <w:t>Judiciary</w:t>
      </w:r>
      <w:r>
        <w:t xml:space="preserve"> </w:t>
      </w:r>
      <w:r w:rsidRPr="00847289">
        <w:t>(</w:t>
      </w:r>
      <w:hyperlink r:id="rId7" w:history="1">
        <w:r w:rsidRPr="00847289">
          <w:rPr>
            <w:rStyle w:val="Hyperlink"/>
          </w:rPr>
          <w:t>Senate Journal</w:t>
        </w:r>
        <w:r w:rsidRPr="00847289">
          <w:rPr>
            <w:rStyle w:val="Hyperlink"/>
          </w:rPr>
          <w:noBreakHyphen/>
          <w:t>page 5</w:t>
        </w:r>
      </w:hyperlink>
      <w:r w:rsidRPr="00847289">
        <w:t>)</w:t>
      </w:r>
    </w:p>
    <w:p w:rsidR="00C92530" w:rsidRDefault="00C92530" w:rsidP="00C92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4/20/2012</w:t>
      </w:r>
      <w:r>
        <w:tab/>
        <w:t>Senate</w:t>
      </w:r>
      <w:r>
        <w:tab/>
      </w:r>
      <w:r w:rsidRPr="00847289">
        <w:t>Referred to Subc</w:t>
      </w:r>
      <w:r>
        <w:t xml:space="preserve">ommittee: Campsen (ch), Knotts, </w:t>
      </w:r>
      <w:r w:rsidRPr="00847289">
        <w:t>Campbell, Coleman, Shoopman</w:t>
      </w:r>
    </w:p>
    <w:p w:rsidR="00C92530" w:rsidRDefault="00C92530" w:rsidP="00C925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63BA" w:rsidRPr="005E63BA" w:rsidRDefault="005E63BA" w:rsidP="005E63B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E63BA" w:rsidRDefault="005E63BA" w:rsidP="005E63BA">
      <w:pPr>
        <w:widowControl w:val="0"/>
      </w:pPr>
      <w:r w:rsidRPr="005E63BA">
        <w:rPr>
          <w:b/>
        </w:rPr>
        <w:t>VERSIONS OF THIS BILL</w:t>
      </w:r>
    </w:p>
    <w:p w:rsidR="005E63BA" w:rsidRDefault="005E63BA" w:rsidP="005E63BA">
      <w:pPr>
        <w:widowControl w:val="0"/>
      </w:pPr>
    </w:p>
    <w:p w:rsidR="005E63BA" w:rsidRDefault="002052BE" w:rsidP="005E63BA">
      <w:pPr>
        <w:widowControl w:val="0"/>
      </w:pPr>
      <w:hyperlink r:id="rId8" w:history="1">
        <w:r w:rsidR="005E63BA">
          <w:rPr>
            <w:rStyle w:val="Hyperlink"/>
          </w:rPr>
          <w:t>4/12/2012</w:t>
        </w:r>
      </w:hyperlink>
    </w:p>
    <w:p w:rsidR="005E63BA" w:rsidRDefault="005E63BA" w:rsidP="005E63BA"/>
    <w:p w:rsidR="005E63BA" w:rsidRDefault="005E63BA" w:rsidP="005E63BA">
      <w:pPr>
        <w:sectPr w:rsidR="005E63BA" w:rsidSect="005E63B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A16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157F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E15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="00AE4CC8">
        <w:rPr>
          <w:rFonts w:eastAsia="Times New Roman"/>
        </w:rPr>
        <w:t>SECTION 61</w:t>
      </w:r>
      <w:r w:rsidR="00F43C13">
        <w:rPr>
          <w:rFonts w:eastAsia="Times New Roman"/>
        </w:rPr>
        <w:noBreakHyphen/>
      </w:r>
      <w:r w:rsidR="00AE4CC8">
        <w:rPr>
          <w:rFonts w:eastAsia="Times New Roman"/>
        </w:rPr>
        <w:t>6</w:t>
      </w:r>
      <w:r w:rsidR="00F43C13">
        <w:rPr>
          <w:rFonts w:eastAsia="Times New Roman"/>
        </w:rPr>
        <w:noBreakHyphen/>
      </w:r>
      <w:r w:rsidR="00AE4CC8">
        <w:rPr>
          <w:rFonts w:eastAsia="Times New Roman"/>
        </w:rPr>
        <w:t>20</w:t>
      </w:r>
      <w:r w:rsidR="007A2DEF">
        <w:rPr>
          <w:rFonts w:eastAsia="Times New Roman"/>
        </w:rPr>
        <w:t xml:space="preserve">, </w:t>
      </w:r>
      <w:r w:rsidR="00AE4CC8">
        <w:rPr>
          <w:rFonts w:eastAsia="Times New Roman"/>
        </w:rPr>
        <w:t xml:space="preserve">RELATING TO </w:t>
      </w:r>
      <w:r w:rsidR="007A2DEF">
        <w:rPr>
          <w:rFonts w:eastAsia="Times New Roman"/>
        </w:rPr>
        <w:t xml:space="preserve">THE ALCOHOLIC BEVERAGE CONTROL ACT, </w:t>
      </w:r>
      <w:r>
        <w:rPr>
          <w:rFonts w:eastAsia="Times New Roman"/>
        </w:rPr>
        <w:t>TO ADD THE DEFINITION OF “TAVERN”</w:t>
      </w:r>
      <w:r w:rsidR="00972CEA">
        <w:rPr>
          <w:rFonts w:eastAsia="Times New Roman"/>
        </w:rPr>
        <w:t xml:space="preserve"> OR “BAR”</w:t>
      </w:r>
      <w:r>
        <w:rPr>
          <w:rFonts w:eastAsia="Times New Roman"/>
        </w:rPr>
        <w:t xml:space="preserve">; </w:t>
      </w:r>
      <w:r w:rsidR="007A2DEF">
        <w:rPr>
          <w:rFonts w:eastAsia="Times New Roman"/>
        </w:rPr>
        <w:t xml:space="preserve"> </w:t>
      </w:r>
      <w:r>
        <w:rPr>
          <w:rFonts w:eastAsia="Times New Roman"/>
        </w:rPr>
        <w:t>TO A</w:t>
      </w:r>
      <w:r w:rsidR="000625EE">
        <w:rPr>
          <w:rFonts w:eastAsia="Times New Roman"/>
        </w:rPr>
        <w:t>DD</w:t>
      </w:r>
      <w:r>
        <w:rPr>
          <w:rFonts w:eastAsia="Times New Roman"/>
        </w:rPr>
        <w:t xml:space="preserve"> </w:t>
      </w:r>
      <w:r w:rsidR="000625EE">
        <w:rPr>
          <w:color w:val="000000" w:themeColor="text1"/>
          <w:u w:color="000000" w:themeColor="text1"/>
        </w:rPr>
        <w:t>SECTION 61</w:t>
      </w:r>
      <w:r w:rsidR="00F43C13">
        <w:rPr>
          <w:color w:val="000000" w:themeColor="text1"/>
          <w:u w:color="000000" w:themeColor="text1"/>
        </w:rPr>
        <w:noBreakHyphen/>
      </w:r>
      <w:r w:rsidR="000625EE"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 w:rsidR="000625EE">
        <w:rPr>
          <w:color w:val="000000" w:themeColor="text1"/>
          <w:u w:color="000000" w:themeColor="text1"/>
        </w:rPr>
        <w:t>1615</w:t>
      </w:r>
      <w:r>
        <w:rPr>
          <w:color w:val="000000" w:themeColor="text1"/>
          <w:u w:color="000000" w:themeColor="text1"/>
        </w:rPr>
        <w:t xml:space="preserve"> TO </w:t>
      </w:r>
      <w:r w:rsidR="000625EE">
        <w:rPr>
          <w:color w:val="000000" w:themeColor="text1"/>
          <w:u w:color="000000" w:themeColor="text1"/>
        </w:rPr>
        <w:t xml:space="preserve">REQUIRE FOOD SERVICE ESTABLISHMENTS AND </w:t>
      </w:r>
      <w:r w:rsidR="00972CEA">
        <w:rPr>
          <w:color w:val="000000" w:themeColor="text1"/>
          <w:u w:color="000000" w:themeColor="text1"/>
        </w:rPr>
        <w:t xml:space="preserve">TAVERNS OR </w:t>
      </w:r>
      <w:r w:rsidR="000625EE">
        <w:rPr>
          <w:color w:val="000000" w:themeColor="text1"/>
          <w:u w:color="000000" w:themeColor="text1"/>
        </w:rPr>
        <w:t>BARS TO SUBMIT TO THE DEPARTMENT OF REVENU</w:t>
      </w:r>
      <w:r w:rsidR="00AE4CC8">
        <w:rPr>
          <w:color w:val="000000" w:themeColor="text1"/>
          <w:u w:color="000000" w:themeColor="text1"/>
        </w:rPr>
        <w:t xml:space="preserve">E A STATEMENT OF THE PERCENTAGE </w:t>
      </w:r>
      <w:r w:rsidR="000625EE">
        <w:rPr>
          <w:color w:val="000000" w:themeColor="text1"/>
          <w:u w:color="000000" w:themeColor="text1"/>
        </w:rPr>
        <w:t xml:space="preserve">OF INCOME FROM FOOD SERVICE AND </w:t>
      </w:r>
      <w:r w:rsidR="00AE4CC8">
        <w:rPr>
          <w:color w:val="000000" w:themeColor="text1"/>
          <w:u w:color="000000" w:themeColor="text1"/>
        </w:rPr>
        <w:t xml:space="preserve">FROM </w:t>
      </w:r>
      <w:r w:rsidR="004C6BBE">
        <w:rPr>
          <w:color w:val="000000" w:themeColor="text1"/>
          <w:u w:color="000000" w:themeColor="text1"/>
        </w:rPr>
        <w:t xml:space="preserve">ALCOHOL SALES; </w:t>
      </w:r>
      <w:r w:rsidR="000625EE">
        <w:rPr>
          <w:color w:val="000000" w:themeColor="text1"/>
          <w:u w:color="000000" w:themeColor="text1"/>
        </w:rPr>
        <w:t>TO ADD SECTION 61</w:t>
      </w:r>
      <w:r w:rsidR="00F43C13">
        <w:rPr>
          <w:color w:val="000000" w:themeColor="text1"/>
          <w:u w:color="000000" w:themeColor="text1"/>
        </w:rPr>
        <w:noBreakHyphen/>
      </w:r>
      <w:r w:rsidR="000625EE"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 w:rsidR="000625EE">
        <w:rPr>
          <w:color w:val="000000" w:themeColor="text1"/>
          <w:u w:color="000000" w:themeColor="text1"/>
        </w:rPr>
        <w:t>1617</w:t>
      </w:r>
      <w:r>
        <w:rPr>
          <w:color w:val="000000" w:themeColor="text1"/>
          <w:u w:color="000000" w:themeColor="text1"/>
        </w:rPr>
        <w:t xml:space="preserve"> </w:t>
      </w:r>
      <w:r w:rsidR="000625EE">
        <w:rPr>
          <w:color w:val="000000" w:themeColor="text1"/>
          <w:u w:color="000000" w:themeColor="text1"/>
        </w:rPr>
        <w:t>TO REQUIRE T</w:t>
      </w:r>
      <w:r w:rsidR="00AE4CC8">
        <w:rPr>
          <w:color w:val="000000" w:themeColor="text1"/>
          <w:u w:color="000000" w:themeColor="text1"/>
        </w:rPr>
        <w:t xml:space="preserve">HE POSTING OF APPROPRIATE </w:t>
      </w:r>
      <w:r w:rsidR="000625EE">
        <w:rPr>
          <w:color w:val="000000" w:themeColor="text1"/>
          <w:u w:color="000000" w:themeColor="text1"/>
        </w:rPr>
        <w:t>SIGN</w:t>
      </w:r>
      <w:r w:rsidR="00AE4CC8">
        <w:rPr>
          <w:color w:val="000000" w:themeColor="text1"/>
          <w:u w:color="000000" w:themeColor="text1"/>
        </w:rPr>
        <w:t>AGE</w:t>
      </w:r>
      <w:r w:rsidR="004C6BBE">
        <w:rPr>
          <w:color w:val="000000" w:themeColor="text1"/>
          <w:u w:color="000000" w:themeColor="text1"/>
        </w:rPr>
        <w:t xml:space="preserve"> PROHIBITING THE CARRYING OF A WEAPON INTO A TAVERN OR BAR; AND TO AMEND SECTION </w:t>
      </w:r>
      <w:r w:rsidR="003B7589">
        <w:rPr>
          <w:rFonts w:eastAsia="Times New Roman"/>
        </w:rPr>
        <w:t>16</w:t>
      </w:r>
      <w:r w:rsidR="00F43C13">
        <w:rPr>
          <w:rFonts w:eastAsia="Times New Roman"/>
        </w:rPr>
        <w:noBreakHyphen/>
      </w:r>
      <w:r w:rsidR="003B7589">
        <w:rPr>
          <w:rFonts w:eastAsia="Times New Roman"/>
        </w:rPr>
        <w:t>23</w:t>
      </w:r>
      <w:r w:rsidR="00F43C13">
        <w:rPr>
          <w:rFonts w:eastAsia="Times New Roman"/>
        </w:rPr>
        <w:noBreakHyphen/>
      </w:r>
      <w:r w:rsidR="003B7589">
        <w:rPr>
          <w:rFonts w:eastAsia="Times New Roman"/>
        </w:rPr>
        <w:t>465</w:t>
      </w:r>
      <w:r w:rsidR="00F43C13">
        <w:rPr>
          <w:rFonts w:eastAsia="Times New Roman"/>
        </w:rPr>
        <w:t>,</w:t>
      </w:r>
      <w:r w:rsidR="003B7589">
        <w:rPr>
          <w:rFonts w:eastAsia="Times New Roman"/>
        </w:rPr>
        <w:t xml:space="preserve"> </w:t>
      </w:r>
      <w:r w:rsidR="004C6BBE">
        <w:rPr>
          <w:color w:val="000000" w:themeColor="text1"/>
          <w:u w:color="000000" w:themeColor="text1"/>
        </w:rPr>
        <w:t>RELATING TO THE ADDITIONAL PENALTY FOR THE UNLAWFUL CARRYING TO OF A WEAPON ONTO THE PREMISES OF A BUSINESS SELLING ALCOHOL FOR ON</w:t>
      </w:r>
      <w:r w:rsidR="00F43C13">
        <w:rPr>
          <w:color w:val="000000" w:themeColor="text1"/>
          <w:u w:color="000000" w:themeColor="text1"/>
        </w:rPr>
        <w:noBreakHyphen/>
      </w:r>
      <w:r w:rsidR="004C6BBE">
        <w:rPr>
          <w:color w:val="000000" w:themeColor="text1"/>
          <w:u w:color="000000" w:themeColor="text1"/>
        </w:rPr>
        <w:t>PREMISES CONSUMPTION, TO PROVIDE THAT IS NOT UNLAWFUL FOR A PERSON WITH A CONCEALED WEAPONS PERMIT TO CA</w:t>
      </w:r>
      <w:r w:rsidR="009A51AC">
        <w:rPr>
          <w:color w:val="000000" w:themeColor="text1"/>
          <w:u w:color="000000" w:themeColor="text1"/>
        </w:rPr>
        <w:t>RRY A CONCEALED WEAPON INTO A FO</w:t>
      </w:r>
      <w:r w:rsidR="004C6BBE">
        <w:rPr>
          <w:color w:val="000000" w:themeColor="text1"/>
          <w:u w:color="000000" w:themeColor="text1"/>
        </w:rPr>
        <w:t xml:space="preserve">OD SERVICE ESTABLISHMENT. </w:t>
      </w:r>
    </w:p>
    <w:p w:rsidR="004157F0" w:rsidRDefault="00415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157F0" w:rsidRDefault="00415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157F0" w:rsidRDefault="00415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7F0" w:rsidRDefault="00415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C3647">
        <w:rPr>
          <w:rFonts w:eastAsia="Times New Roman"/>
        </w:rPr>
        <w:t>Section 61</w:t>
      </w:r>
      <w:r w:rsidR="00F43C13">
        <w:rPr>
          <w:rFonts w:eastAsia="Times New Roman"/>
        </w:rPr>
        <w:noBreakHyphen/>
      </w:r>
      <w:r w:rsidR="007C3647">
        <w:rPr>
          <w:rFonts w:eastAsia="Times New Roman"/>
        </w:rPr>
        <w:t>6</w:t>
      </w:r>
      <w:r w:rsidR="00F43C13">
        <w:rPr>
          <w:rFonts w:eastAsia="Times New Roman"/>
        </w:rPr>
        <w:noBreakHyphen/>
      </w:r>
      <w:r w:rsidR="007C3647">
        <w:rPr>
          <w:rFonts w:eastAsia="Times New Roman"/>
        </w:rPr>
        <w:t>20 of the 1976 Code is amended to read:</w:t>
      </w:r>
    </w:p>
    <w:p w:rsidR="004157F0" w:rsidRDefault="00415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062A" w:rsidRPr="0038062A" w:rsidRDefault="007C3647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="0038062A" w:rsidRPr="003806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 w:rsidR="0038062A" w:rsidRPr="0038062A">
        <w:rPr>
          <w:color w:val="000000" w:themeColor="text1"/>
          <w:u w:color="000000" w:themeColor="text1"/>
        </w:rPr>
        <w:t xml:space="preserve"> 61</w:t>
      </w:r>
      <w:r w:rsidR="00F43C13">
        <w:rPr>
          <w:color w:val="000000" w:themeColor="text1"/>
          <w:u w:color="000000" w:themeColor="text1"/>
        </w:rPr>
        <w:noBreakHyphen/>
      </w:r>
      <w:r w:rsidR="0038062A" w:rsidRPr="0038062A"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 w:rsidR="0038062A" w:rsidRPr="0038062A">
        <w:rPr>
          <w:color w:val="000000" w:themeColor="text1"/>
          <w:u w:color="000000" w:themeColor="text1"/>
        </w:rPr>
        <w:t>20.</w:t>
      </w:r>
      <w:r w:rsidR="0038062A">
        <w:rPr>
          <w:color w:val="000000" w:themeColor="text1"/>
          <w:u w:color="000000" w:themeColor="text1"/>
        </w:rPr>
        <w:tab/>
      </w:r>
      <w:r w:rsidR="0038062A" w:rsidRPr="0038062A">
        <w:rPr>
          <w:color w:val="000000" w:themeColor="text1"/>
          <w:u w:color="000000" w:themeColor="text1"/>
        </w:rPr>
        <w:t xml:space="preserve">As used in the ABC Act, unless the context clearly requires otherwise: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(1)(a)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="007C3647">
        <w:rPr>
          <w:color w:val="000000" w:themeColor="text1"/>
          <w:u w:color="000000" w:themeColor="text1"/>
        </w:rPr>
        <w:t>Alcoholic liquors</w:t>
      </w:r>
      <w:r w:rsidR="00F43C13" w:rsidRPr="00F43C13">
        <w:rPr>
          <w:color w:val="000000" w:themeColor="text1"/>
          <w:u w:color="000000" w:themeColor="text1"/>
        </w:rPr>
        <w:t>’</w:t>
      </w:r>
      <w:r w:rsidR="007C3647">
        <w:rPr>
          <w:color w:val="000000" w:themeColor="text1"/>
          <w:u w:color="000000" w:themeColor="text1"/>
        </w:rPr>
        <w:t xml:space="preserve"> or </w:t>
      </w:r>
      <w:r w:rsidR="00F43C13" w:rsidRPr="00F43C13">
        <w:rPr>
          <w:color w:val="000000" w:themeColor="text1"/>
          <w:u w:color="000000" w:themeColor="text1"/>
        </w:rPr>
        <w:t>‘</w:t>
      </w:r>
      <w:r w:rsidR="007C3647">
        <w:rPr>
          <w:color w:val="000000" w:themeColor="text1"/>
          <w:u w:color="000000" w:themeColor="text1"/>
        </w:rPr>
        <w:t>alcoholic beverages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any spirituous malt, vinous, fermented, brewed (whether lager or rice beer), or other liquors or a compound or mixture of them by whatever name called or known which contains alcohol and is used as a beverage, but does not include: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(i)</w:t>
      </w:r>
      <w:r w:rsidR="007A2DE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 xml:space="preserve">wine when manufactured or made for home consumption and which is not sold by the maker of the wine or by another person; or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(ii)</w:t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 xml:space="preserve">a beverage declared by statute to be nonalcoholic or nonintoxicating. </w:t>
      </w:r>
    </w:p>
    <w:p w:rsid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="007C3647">
        <w:rPr>
          <w:color w:val="000000" w:themeColor="text1"/>
          <w:u w:color="000000" w:themeColor="text1"/>
        </w:rPr>
        <w:t>Alcoholic liquor by the drink</w:t>
      </w:r>
      <w:r w:rsidR="00F43C13" w:rsidRPr="00F43C13">
        <w:rPr>
          <w:color w:val="000000" w:themeColor="text1"/>
          <w:u w:color="000000" w:themeColor="text1"/>
        </w:rPr>
        <w:t>’</w:t>
      </w:r>
      <w:r w:rsidR="007C3647">
        <w:rPr>
          <w:color w:val="000000" w:themeColor="text1"/>
          <w:u w:color="000000" w:themeColor="text1"/>
        </w:rPr>
        <w:t xml:space="preserve"> or </w:t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alcoholic beverage by the drink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 drink poured from a container of alcoholic liquor, without regard to the size of the container for consumption on the premises of a business licensed pursuant to Article 5 of this chapter.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E1578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</w:rPr>
        <w:t>2</w:t>
      </w:r>
      <w:r w:rsidRPr="000E157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Bona fide engaged primarily and substantially in the preparation and serving of meals</w:t>
      </w:r>
      <w:r w:rsidR="00F43C13" w:rsidRPr="00F43C13">
        <w:rPr>
          <w:color w:val="000000" w:themeColor="text1"/>
          <w:u w:color="000000" w:themeColor="text1"/>
        </w:rPr>
        <w:t>’</w:t>
      </w:r>
      <w:r w:rsidR="00F528B8">
        <w:rPr>
          <w:color w:val="000000" w:themeColor="text1"/>
          <w:u w:color="000000" w:themeColor="text1"/>
        </w:rPr>
        <w:t xml:space="preserve"> </w:t>
      </w:r>
      <w:r w:rsidR="00F528B8" w:rsidRPr="00F528B8">
        <w:rPr>
          <w:color w:val="000000" w:themeColor="text1"/>
          <w:u w:val="single"/>
        </w:rPr>
        <w:t xml:space="preserve">or </w:t>
      </w:r>
      <w:r w:rsidR="00F43C13" w:rsidRPr="00F43C13">
        <w:rPr>
          <w:color w:val="000000" w:themeColor="text1"/>
          <w:u w:val="single"/>
        </w:rPr>
        <w:t>‘</w:t>
      </w:r>
      <w:r w:rsidR="00F528B8" w:rsidRPr="00F528B8">
        <w:rPr>
          <w:color w:val="000000" w:themeColor="text1"/>
          <w:u w:val="single"/>
        </w:rPr>
        <w:t>food service establishment</w:t>
      </w:r>
      <w:r w:rsidR="00F43C13" w:rsidRPr="00F43C13">
        <w:rPr>
          <w:color w:val="000000" w:themeColor="text1"/>
          <w:u w:val="single"/>
        </w:rPr>
        <w:t>’</w:t>
      </w:r>
      <w:r w:rsidRPr="0038062A">
        <w:rPr>
          <w:color w:val="000000" w:themeColor="text1"/>
          <w:u w:color="000000" w:themeColor="text1"/>
        </w:rPr>
        <w:t xml:space="preserve"> means a business that provides facilities for seating not fewer than forty persons simultaneously at tables for the service of meals and that: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 xml:space="preserve">is equipped with a kitchen that is utilized for the cooking, preparation, and serving of meals upon customer request at normal meal times;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 xml:space="preserve">has readily available to its guests and patrons either menus with the listings of various meals offered for service or a listing of available meals and foods, posted in a conspicuous place readily discernible by the guest or patrons; </w:t>
      </w:r>
      <w:r w:rsidRPr="000C38D9">
        <w:rPr>
          <w:strike/>
          <w:color w:val="000000" w:themeColor="text1"/>
          <w:u w:color="000000" w:themeColor="text1"/>
        </w:rPr>
        <w:t>and</w:t>
      </w:r>
      <w:r w:rsidRPr="0038062A">
        <w:rPr>
          <w:color w:val="000000" w:themeColor="text1"/>
          <w:u w:color="000000" w:themeColor="text1"/>
        </w:rPr>
        <w:t xml:space="preserve"> </w:t>
      </w:r>
    </w:p>
    <w:p w:rsidR="00C37AFD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prepares for service to customers, upon the demand of the customer, hot meals at least once each day the business establishment chooses to be open</w:t>
      </w:r>
      <w:r w:rsidR="000C38D9">
        <w:rPr>
          <w:color w:val="000000" w:themeColor="text1"/>
          <w:u w:val="single" w:color="000000" w:themeColor="text1"/>
        </w:rPr>
        <w:t>; and</w:t>
      </w:r>
    </w:p>
    <w:p w:rsidR="0038062A" w:rsidRPr="000C38D9" w:rsidRDefault="00C37AFD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C37AFD">
        <w:rPr>
          <w:color w:val="000000" w:themeColor="text1"/>
          <w:u w:val="single"/>
        </w:rPr>
        <w:t>(d)</w:t>
      </w:r>
      <w:r w:rsidRPr="00C37AFD">
        <w:rPr>
          <w:color w:val="000000" w:themeColor="text1"/>
        </w:rPr>
        <w:tab/>
      </w:r>
      <w:r w:rsidRPr="00C37AFD">
        <w:rPr>
          <w:color w:val="000000" w:themeColor="text1"/>
          <w:u w:val="single"/>
        </w:rPr>
        <w:t>derive</w:t>
      </w:r>
      <w:r w:rsidR="00AE4CC8">
        <w:rPr>
          <w:color w:val="000000" w:themeColor="text1"/>
          <w:u w:val="single"/>
        </w:rPr>
        <w:t>s fifty percent or more of its</w:t>
      </w:r>
      <w:r w:rsidRPr="00C37AFD">
        <w:rPr>
          <w:color w:val="000000" w:themeColor="text1"/>
          <w:u w:val="single"/>
        </w:rPr>
        <w:t xml:space="preserve"> income from the sale of prepared</w:t>
      </w:r>
      <w:r w:rsidR="000C38D9">
        <w:rPr>
          <w:color w:val="000000" w:themeColor="text1"/>
          <w:u w:val="single"/>
        </w:rPr>
        <w:t xml:space="preserve"> foods and the serving of meals</w:t>
      </w:r>
      <w:r w:rsidR="000C38D9">
        <w:rPr>
          <w:color w:val="000000" w:themeColor="text1"/>
        </w:rPr>
        <w:t>.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E157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Homeowners association chartered as a nonprofit by the Secretary of State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an organization that has been recognized as a nonprofit by the Secretary of State, whose membership is limited to individuals who own property in the residential community, and whose affairs are governed by a board of directors elected by the membership. No member, officer, agent, or employee of the association may be paid a salary or other form of compensation from any of the profit of the sale of alcoholic beverages, except as may be voted on at a meeting of the governing body, nor shall the salaries or compensation be in excess of reasonable compensation for the services actually performed. Additionally, a </w:t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homeowners association chartered as a nonprofit by the Secretary of State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must abide by all alcoholic liquor regulations that apply to a nonprofit organization, as defined by Section 61</w:t>
      </w:r>
      <w:r w:rsidR="00F43C13">
        <w:rPr>
          <w:color w:val="000000" w:themeColor="text1"/>
          <w:u w:color="000000" w:themeColor="text1"/>
        </w:rPr>
        <w:noBreakHyphen/>
      </w:r>
      <w:r w:rsidRPr="0038062A"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 w:rsidRPr="0038062A">
        <w:rPr>
          <w:color w:val="000000" w:themeColor="text1"/>
          <w:u w:color="000000" w:themeColor="text1"/>
        </w:rPr>
        <w:t xml:space="preserve">20(7), except that upon dissolution of the </w:t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homeowners association chartered as a nonprofit by the Secretary of State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, the remaining assets, if any, may be distributed to its members. A </w:t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homeowners association chartered as a nonprofit by the Secretary of State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is eligible to be licensed under this chapter only at facilities located within the boundaries of the homeowners association.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4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Manufacturer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 person operating a plant or place of business in this State for distilling, rectifying, brewing, fermenting, blending, or bottling alcoholic liquors.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5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Furnishing lodging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those businesses which rent accommodations for lodging to the public on a regular basis consisting of not less than twenty rooms.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6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Minibottle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 sealed container of fifty milliliters or less of alcoholic liquor.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7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Nonprofit organization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an organization not open to the general public, but with a limited membership and established for social, benevolent, patriotic, recreational, or fraternal purposes.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8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Producer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, as used in the ABC Act, means a manufacturer, distiller, rectifier, blender, or bottler of alcoholic liquors and includes an importer of alcoholic liquors engaged in importing alcoholic liquors into the United States.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9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Producer representative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 person who is a citizen of this State, who maintains his principal place of abode in this State, and who is registered with the department pursuant to Article 7 of this chapter as the South Carolina representative of a registered producer. </w:t>
      </w:r>
    </w:p>
    <w:p w:rsidR="0038062A" w:rsidRP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10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Registered producer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 producer who is registered with the department pursuant to Article 7 of this chapter. </w:t>
      </w:r>
    </w:p>
    <w:p w:rsid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0E1578">
        <w:rPr>
          <w:color w:val="000000" w:themeColor="text1"/>
          <w:u w:color="000000" w:themeColor="text1"/>
        </w:rPr>
        <w:t>11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Retail dealer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 holder of a license issued under the provisions of Article 3 of this chapter, other than a manufacturer or wholesaler. </w:t>
      </w:r>
    </w:p>
    <w:p w:rsidR="000E1578" w:rsidRPr="007C3647" w:rsidRDefault="000E1578" w:rsidP="000E15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/>
        </w:rPr>
      </w:pPr>
      <w:r>
        <w:rPr>
          <w:color w:val="000000" w:themeColor="text1"/>
          <w:u w:color="000000" w:themeColor="text1"/>
        </w:rPr>
        <w:tab/>
      </w:r>
      <w:r w:rsidRPr="007C3647">
        <w:rPr>
          <w:color w:val="000000" w:themeColor="text1"/>
          <w:u w:val="single"/>
        </w:rPr>
        <w:t>(</w:t>
      </w:r>
      <w:r>
        <w:rPr>
          <w:color w:val="000000" w:themeColor="text1"/>
          <w:u w:val="single"/>
        </w:rPr>
        <w:t>1</w:t>
      </w:r>
      <w:r w:rsidRPr="007C3647">
        <w:rPr>
          <w:color w:val="000000" w:themeColor="text1"/>
          <w:u w:val="single"/>
        </w:rPr>
        <w:t>2)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val="single"/>
        </w:rPr>
        <w:t>‘</w:t>
      </w:r>
      <w:r w:rsidRPr="007C3647">
        <w:rPr>
          <w:color w:val="000000" w:themeColor="text1"/>
          <w:u w:val="single"/>
        </w:rPr>
        <w:t>Tavern</w:t>
      </w:r>
      <w:r w:rsidR="00F43C13" w:rsidRPr="00F43C13">
        <w:rPr>
          <w:color w:val="000000" w:themeColor="text1"/>
          <w:u w:val="single"/>
        </w:rPr>
        <w:t>’</w:t>
      </w:r>
      <w:r>
        <w:rPr>
          <w:color w:val="000000" w:themeColor="text1"/>
          <w:u w:val="single"/>
        </w:rPr>
        <w:t xml:space="preserve"> or </w:t>
      </w:r>
      <w:r w:rsidR="00F43C13" w:rsidRPr="00F43C13">
        <w:rPr>
          <w:color w:val="000000" w:themeColor="text1"/>
          <w:u w:val="single"/>
        </w:rPr>
        <w:t>‘</w:t>
      </w:r>
      <w:r>
        <w:rPr>
          <w:color w:val="000000" w:themeColor="text1"/>
          <w:u w:val="single"/>
        </w:rPr>
        <w:t>bar</w:t>
      </w:r>
      <w:r w:rsidR="00F43C13" w:rsidRPr="00F43C13">
        <w:rPr>
          <w:color w:val="000000" w:themeColor="text1"/>
          <w:u w:val="single"/>
        </w:rPr>
        <w:t>’</w:t>
      </w:r>
      <w:r>
        <w:rPr>
          <w:color w:val="000000" w:themeColor="text1"/>
          <w:u w:val="single"/>
        </w:rPr>
        <w:t xml:space="preserve"> </w:t>
      </w:r>
      <w:r w:rsidRPr="007C3647">
        <w:rPr>
          <w:color w:val="000000" w:themeColor="text1"/>
          <w:u w:val="single"/>
        </w:rPr>
        <w:t>means</w:t>
      </w:r>
      <w:r>
        <w:rPr>
          <w:color w:val="000000" w:themeColor="text1"/>
          <w:u w:val="single"/>
        </w:rPr>
        <w:t xml:space="preserve"> a business that derives </w:t>
      </w:r>
      <w:r w:rsidR="007A2DEF">
        <w:rPr>
          <w:color w:val="000000" w:themeColor="text1"/>
          <w:u w:val="single"/>
        </w:rPr>
        <w:t xml:space="preserve">more than fifty percent of its </w:t>
      </w:r>
      <w:r>
        <w:rPr>
          <w:color w:val="000000" w:themeColor="text1"/>
          <w:u w:val="single"/>
        </w:rPr>
        <w:t>income from the sale of alcoholic beverages for consumption on the premises.</w:t>
      </w:r>
    </w:p>
    <w:p w:rsidR="0038062A" w:rsidRDefault="0038062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8062A">
        <w:rPr>
          <w:color w:val="000000" w:themeColor="text1"/>
          <w:u w:color="000000" w:themeColor="text1"/>
        </w:rPr>
        <w:t>(</w:t>
      </w:r>
      <w:r w:rsidRPr="007C3647">
        <w:rPr>
          <w:strike/>
          <w:color w:val="000000" w:themeColor="text1"/>
          <w:u w:color="000000" w:themeColor="text1"/>
        </w:rPr>
        <w:t>12</w:t>
      </w:r>
      <w:r w:rsidR="007C3647" w:rsidRPr="007C3647">
        <w:rPr>
          <w:color w:val="000000" w:themeColor="text1"/>
          <w:u w:val="single"/>
        </w:rPr>
        <w:t>1</w:t>
      </w:r>
      <w:r w:rsidR="00C37AFD">
        <w:rPr>
          <w:color w:val="000000" w:themeColor="text1"/>
          <w:u w:val="single"/>
        </w:rPr>
        <w:t>3</w:t>
      </w:r>
      <w:r w:rsidRPr="0038062A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43C13" w:rsidRPr="00F43C13">
        <w:rPr>
          <w:color w:val="000000" w:themeColor="text1"/>
          <w:u w:color="000000" w:themeColor="text1"/>
        </w:rPr>
        <w:t>‘</w:t>
      </w:r>
      <w:r w:rsidRPr="0038062A">
        <w:rPr>
          <w:color w:val="000000" w:themeColor="text1"/>
          <w:u w:color="000000" w:themeColor="text1"/>
        </w:rPr>
        <w:t>Wholesaler</w:t>
      </w:r>
      <w:r w:rsidR="00F43C13" w:rsidRPr="00F43C13">
        <w:rPr>
          <w:color w:val="000000" w:themeColor="text1"/>
          <w:u w:color="000000" w:themeColor="text1"/>
        </w:rPr>
        <w:t>’</w:t>
      </w:r>
      <w:r w:rsidRPr="0038062A">
        <w:rPr>
          <w:color w:val="000000" w:themeColor="text1"/>
          <w:u w:color="000000" w:themeColor="text1"/>
        </w:rPr>
        <w:t xml:space="preserve"> means a person who purchases, acquires, or imports from outside this State or who purchases or acquires from a manufacturer in the Stat</w:t>
      </w:r>
      <w:r w:rsidR="007A2DEF">
        <w:rPr>
          <w:color w:val="000000" w:themeColor="text1"/>
          <w:u w:color="000000" w:themeColor="text1"/>
        </w:rPr>
        <w:t>e alcoholic liquors for resale.”</w:t>
      </w:r>
    </w:p>
    <w:p w:rsidR="007C3647" w:rsidRDefault="007C3647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C37AFD" w:rsidRDefault="000625EE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 2</w:t>
      </w:r>
      <w:r w:rsidR="00C37AFD">
        <w:rPr>
          <w:color w:val="000000" w:themeColor="text1"/>
          <w:u w:color="000000" w:themeColor="text1"/>
        </w:rPr>
        <w:t>.</w:t>
      </w:r>
      <w:r w:rsidR="00C37AFD">
        <w:rPr>
          <w:color w:val="000000" w:themeColor="text1"/>
          <w:u w:color="000000" w:themeColor="text1"/>
        </w:rPr>
        <w:tab/>
      </w:r>
      <w:r w:rsidR="00C1015D">
        <w:rPr>
          <w:color w:val="000000" w:themeColor="text1"/>
          <w:u w:color="000000" w:themeColor="text1"/>
        </w:rPr>
        <w:t>Subarticle 1, Article 5, Chapter 6 of Title 61 of the 1976 Code is amended by adding:</w:t>
      </w:r>
    </w:p>
    <w:p w:rsidR="00C1015D" w:rsidRDefault="00C1015D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72CEA" w:rsidRDefault="00C1015D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61</w:t>
      </w:r>
      <w:r w:rsidR="00F43C1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1615.</w:t>
      </w:r>
      <w:r w:rsidR="007A2DEF">
        <w:rPr>
          <w:color w:val="000000" w:themeColor="text1"/>
          <w:u w:color="000000" w:themeColor="text1"/>
        </w:rPr>
        <w:tab/>
      </w:r>
      <w:r w:rsidR="00972CEA">
        <w:rPr>
          <w:color w:val="000000" w:themeColor="text1"/>
          <w:u w:color="000000" w:themeColor="text1"/>
        </w:rPr>
        <w:t>(A)</w:t>
      </w:r>
      <w:r w:rsidR="007A2DE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An establishment </w:t>
      </w:r>
      <w:r w:rsidR="001807BB">
        <w:rPr>
          <w:color w:val="000000" w:themeColor="text1"/>
          <w:u w:color="000000" w:themeColor="text1"/>
        </w:rPr>
        <w:t xml:space="preserve">that applies for or is </w:t>
      </w:r>
      <w:r>
        <w:rPr>
          <w:color w:val="000000" w:themeColor="text1"/>
          <w:u w:color="000000" w:themeColor="text1"/>
        </w:rPr>
        <w:t>license</w:t>
      </w:r>
      <w:r w:rsidR="001807BB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="00F528B8">
        <w:rPr>
          <w:color w:val="000000" w:themeColor="text1"/>
          <w:u w:color="000000" w:themeColor="text1"/>
        </w:rPr>
        <w:t>for</w:t>
      </w:r>
      <w:r w:rsidR="00AE4CC8">
        <w:rPr>
          <w:color w:val="000000" w:themeColor="text1"/>
          <w:u w:color="000000" w:themeColor="text1"/>
        </w:rPr>
        <w:t xml:space="preserve"> the</w:t>
      </w:r>
      <w:r w:rsidR="00F528B8">
        <w:rPr>
          <w:color w:val="000000" w:themeColor="text1"/>
          <w:u w:color="000000" w:themeColor="text1"/>
        </w:rPr>
        <w:t xml:space="preserve"> on</w:t>
      </w:r>
      <w:r w:rsidR="00F43C13">
        <w:rPr>
          <w:color w:val="000000" w:themeColor="text1"/>
          <w:u w:color="000000" w:themeColor="text1"/>
        </w:rPr>
        <w:noBreakHyphen/>
      </w:r>
      <w:r w:rsidR="00F528B8">
        <w:rPr>
          <w:color w:val="000000" w:themeColor="text1"/>
          <w:u w:color="000000" w:themeColor="text1"/>
        </w:rPr>
        <w:t>premise consumption of alcoholic beverages</w:t>
      </w:r>
      <w:r w:rsidR="00A16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is require</w:t>
      </w:r>
      <w:r w:rsidR="00F528B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to</w:t>
      </w:r>
      <w:r w:rsidR="00A16916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ubmit to the Department of Revenue</w:t>
      </w:r>
      <w:r w:rsidR="00F528B8">
        <w:rPr>
          <w:color w:val="000000" w:themeColor="text1"/>
          <w:u w:color="000000" w:themeColor="text1"/>
        </w:rPr>
        <w:t xml:space="preserve"> at the time of application and</w:t>
      </w:r>
      <w:r>
        <w:rPr>
          <w:color w:val="000000" w:themeColor="text1"/>
          <w:u w:color="000000" w:themeColor="text1"/>
        </w:rPr>
        <w:t xml:space="preserve"> </w:t>
      </w:r>
      <w:r w:rsidR="00F528B8">
        <w:rPr>
          <w:color w:val="000000" w:themeColor="text1"/>
          <w:u w:color="000000" w:themeColor="text1"/>
        </w:rPr>
        <w:t>each year by a date set by the d</w:t>
      </w:r>
      <w:r>
        <w:rPr>
          <w:color w:val="000000" w:themeColor="text1"/>
          <w:u w:color="000000" w:themeColor="text1"/>
        </w:rPr>
        <w:t>ep</w:t>
      </w:r>
      <w:r w:rsidR="00F528B8">
        <w:rPr>
          <w:color w:val="000000" w:themeColor="text1"/>
          <w:u w:color="000000" w:themeColor="text1"/>
        </w:rPr>
        <w:t xml:space="preserve">artment an income statement that provides the percentage of </w:t>
      </w:r>
      <w:r>
        <w:rPr>
          <w:color w:val="000000" w:themeColor="text1"/>
          <w:u w:color="000000" w:themeColor="text1"/>
        </w:rPr>
        <w:t>income derive</w:t>
      </w:r>
      <w:r w:rsidR="00F528B8">
        <w:rPr>
          <w:color w:val="000000" w:themeColor="text1"/>
          <w:u w:color="000000" w:themeColor="text1"/>
        </w:rPr>
        <w:t xml:space="preserve">d from the </w:t>
      </w:r>
      <w:r w:rsidR="00F528B8" w:rsidRPr="00F528B8">
        <w:rPr>
          <w:color w:val="000000" w:themeColor="text1"/>
        </w:rPr>
        <w:t>sale of prepared foods and the serving of meals</w:t>
      </w:r>
      <w:r w:rsidR="00A16916" w:rsidRPr="00F528B8">
        <w:rPr>
          <w:color w:val="000000" w:themeColor="text1"/>
        </w:rPr>
        <w:t xml:space="preserve"> </w:t>
      </w:r>
      <w:r w:rsidR="00A16916">
        <w:rPr>
          <w:color w:val="000000" w:themeColor="text1"/>
          <w:u w:color="000000" w:themeColor="text1"/>
        </w:rPr>
        <w:t xml:space="preserve">and </w:t>
      </w:r>
      <w:r w:rsidR="00F528B8">
        <w:rPr>
          <w:color w:val="000000" w:themeColor="text1"/>
          <w:u w:color="000000" w:themeColor="text1"/>
        </w:rPr>
        <w:t>from the sale of alcoholic beverages for the previous year.</w:t>
      </w:r>
    </w:p>
    <w:p w:rsidR="00972CEA" w:rsidRDefault="00972CE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F528B8">
        <w:rPr>
          <w:color w:val="000000" w:themeColor="text1"/>
          <w:u w:color="000000" w:themeColor="text1"/>
        </w:rPr>
        <w:t xml:space="preserve">Based on the income statement required by this section, the department shall indicate on each license </w:t>
      </w:r>
      <w:r>
        <w:rPr>
          <w:color w:val="000000" w:themeColor="text1"/>
          <w:u w:color="000000" w:themeColor="text1"/>
        </w:rPr>
        <w:t>or renewal</w:t>
      </w:r>
      <w:r w:rsidR="000625EE">
        <w:rPr>
          <w:color w:val="000000" w:themeColor="text1"/>
          <w:u w:color="000000" w:themeColor="text1"/>
        </w:rPr>
        <w:t xml:space="preserve"> </w:t>
      </w:r>
      <w:r w:rsidR="00AE4CC8">
        <w:rPr>
          <w:color w:val="000000" w:themeColor="text1"/>
          <w:u w:color="000000" w:themeColor="text1"/>
        </w:rPr>
        <w:t>whether the licensed establishment</w:t>
      </w:r>
      <w:r w:rsidR="00F528B8">
        <w:rPr>
          <w:color w:val="000000" w:themeColor="text1"/>
          <w:u w:color="000000" w:themeColor="text1"/>
        </w:rPr>
        <w:t xml:space="preserve"> qualifies as a food service establishment as defined in Section 61</w:t>
      </w:r>
      <w:r w:rsidR="00F43C13">
        <w:rPr>
          <w:color w:val="000000" w:themeColor="text1"/>
          <w:u w:color="000000" w:themeColor="text1"/>
        </w:rPr>
        <w:noBreakHyphen/>
      </w:r>
      <w:r w:rsidR="00F528B8"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 w:rsidR="00F528B8">
        <w:rPr>
          <w:color w:val="000000" w:themeColor="text1"/>
          <w:u w:color="000000" w:themeColor="text1"/>
        </w:rPr>
        <w:t>2</w:t>
      </w:r>
      <w:r w:rsidR="007A2DEF">
        <w:rPr>
          <w:color w:val="000000" w:themeColor="text1"/>
          <w:u w:color="000000" w:themeColor="text1"/>
        </w:rPr>
        <w:t>0</w:t>
      </w:r>
      <w:r w:rsidR="00F528B8">
        <w:rPr>
          <w:color w:val="000000" w:themeColor="text1"/>
          <w:u w:color="000000" w:themeColor="text1"/>
        </w:rPr>
        <w:t>(2) or a bar or tavern as</w:t>
      </w:r>
      <w:r w:rsidR="00AE4CC8">
        <w:rPr>
          <w:color w:val="000000" w:themeColor="text1"/>
          <w:u w:color="000000" w:themeColor="text1"/>
        </w:rPr>
        <w:t xml:space="preserve"> defined in Section 61</w:t>
      </w:r>
      <w:r w:rsidR="00F43C13">
        <w:rPr>
          <w:color w:val="000000" w:themeColor="text1"/>
          <w:u w:color="000000" w:themeColor="text1"/>
        </w:rPr>
        <w:noBreakHyphen/>
      </w:r>
      <w:r w:rsidR="00AE4CC8"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 w:rsidR="00AE4CC8">
        <w:rPr>
          <w:color w:val="000000" w:themeColor="text1"/>
          <w:u w:color="000000" w:themeColor="text1"/>
        </w:rPr>
        <w:t>20(12)</w:t>
      </w:r>
      <w:r w:rsidR="002A3129">
        <w:rPr>
          <w:color w:val="000000" w:themeColor="text1"/>
          <w:u w:color="000000" w:themeColor="text1"/>
        </w:rPr>
        <w:t xml:space="preserve">. </w:t>
      </w:r>
    </w:p>
    <w:p w:rsidR="00F528B8" w:rsidRDefault="00972CEA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2A3129">
        <w:rPr>
          <w:color w:val="000000" w:themeColor="text1"/>
          <w:u w:color="000000" w:themeColor="text1"/>
        </w:rPr>
        <w:t>C</w:t>
      </w:r>
      <w:r w:rsidR="00F528B8">
        <w:rPr>
          <w:color w:val="000000" w:themeColor="text1"/>
          <w:u w:color="000000" w:themeColor="text1"/>
        </w:rPr>
        <w:t>)</w:t>
      </w:r>
      <w:r w:rsidR="00F528B8">
        <w:rPr>
          <w:color w:val="000000" w:themeColor="text1"/>
          <w:u w:color="000000" w:themeColor="text1"/>
        </w:rPr>
        <w:tab/>
        <w:t>The d</w:t>
      </w:r>
      <w:r>
        <w:rPr>
          <w:color w:val="000000" w:themeColor="text1"/>
          <w:u w:color="000000" w:themeColor="text1"/>
        </w:rPr>
        <w:t xml:space="preserve">epartment </w:t>
      </w:r>
      <w:r w:rsidR="00F528B8">
        <w:rPr>
          <w:color w:val="000000" w:themeColor="text1"/>
          <w:u w:color="000000" w:themeColor="text1"/>
        </w:rPr>
        <w:t>may promulgate regulations necessary to fulfill the requirements of this section.</w:t>
      </w:r>
    </w:p>
    <w:p w:rsidR="00C1015D" w:rsidRDefault="002A3129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Failure to submit a statement or the submission of a false or misleading statement is grounds for</w:t>
      </w:r>
      <w:r w:rsidR="00F528B8">
        <w:rPr>
          <w:color w:val="000000" w:themeColor="text1"/>
          <w:u w:color="000000" w:themeColor="text1"/>
        </w:rPr>
        <w:t xml:space="preserve"> denial,</w:t>
      </w:r>
      <w:r>
        <w:rPr>
          <w:color w:val="000000" w:themeColor="text1"/>
          <w:u w:color="000000" w:themeColor="text1"/>
        </w:rPr>
        <w:t xml:space="preserve"> suspension</w:t>
      </w:r>
      <w:r w:rsidR="00F528B8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or revocation of a license under this chapter.</w:t>
      </w:r>
    </w:p>
    <w:p w:rsidR="00A16916" w:rsidRDefault="00A16916" w:rsidP="003806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8062A" w:rsidRDefault="00AE4CC8" w:rsidP="00972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7A2DEF">
        <w:rPr>
          <w:color w:val="000000" w:themeColor="text1"/>
          <w:u w:color="000000" w:themeColor="text1"/>
        </w:rPr>
        <w:t>Section 61</w:t>
      </w:r>
      <w:r w:rsidR="00F43C13">
        <w:rPr>
          <w:color w:val="000000" w:themeColor="text1"/>
          <w:u w:color="000000" w:themeColor="text1"/>
        </w:rPr>
        <w:noBreakHyphen/>
      </w:r>
      <w:r w:rsidR="007A2DEF">
        <w:rPr>
          <w:color w:val="000000" w:themeColor="text1"/>
          <w:u w:color="000000" w:themeColor="text1"/>
        </w:rPr>
        <w:t>6</w:t>
      </w:r>
      <w:r w:rsidR="00F43C13">
        <w:rPr>
          <w:color w:val="000000" w:themeColor="text1"/>
          <w:u w:color="000000" w:themeColor="text1"/>
        </w:rPr>
        <w:noBreakHyphen/>
      </w:r>
      <w:r w:rsidR="007A2DEF">
        <w:rPr>
          <w:color w:val="000000" w:themeColor="text1"/>
          <w:u w:color="000000" w:themeColor="text1"/>
        </w:rPr>
        <w:t>1617.</w:t>
      </w:r>
      <w:r w:rsidR="007A2DEF">
        <w:rPr>
          <w:color w:val="000000" w:themeColor="text1"/>
          <w:u w:color="000000" w:themeColor="text1"/>
        </w:rPr>
        <w:tab/>
      </w:r>
      <w:r w:rsidR="007A2DEF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The license holder of an establishment that qualifies as a tavern </w:t>
      </w:r>
      <w:r w:rsidR="001807BB">
        <w:rPr>
          <w:color w:val="000000" w:themeColor="text1"/>
          <w:u w:color="000000" w:themeColor="text1"/>
        </w:rPr>
        <w:t>or bar</w:t>
      </w:r>
      <w:r w:rsidR="00A16916">
        <w:rPr>
          <w:color w:val="000000" w:themeColor="text1"/>
          <w:u w:color="000000" w:themeColor="text1"/>
        </w:rPr>
        <w:t xml:space="preserve"> must </w:t>
      </w:r>
      <w:r w:rsidR="00C1015D">
        <w:rPr>
          <w:color w:val="000000" w:themeColor="text1"/>
          <w:u w:color="000000" w:themeColor="text1"/>
        </w:rPr>
        <w:t>post</w:t>
      </w:r>
      <w:r w:rsidR="001807BB">
        <w:rPr>
          <w:color w:val="000000" w:themeColor="text1"/>
          <w:u w:color="000000" w:themeColor="text1"/>
        </w:rPr>
        <w:t xml:space="preserve"> notice</w:t>
      </w:r>
      <w:r w:rsidR="00C1015D">
        <w:rPr>
          <w:color w:val="000000" w:themeColor="text1"/>
          <w:u w:color="000000" w:themeColor="text1"/>
        </w:rPr>
        <w:t xml:space="preserve"> in a conspicuous place near the entrance of the business a sign that reads </w:t>
      </w:r>
      <w:r w:rsidR="00F43C13" w:rsidRPr="00F43C13">
        <w:rPr>
          <w:color w:val="000000" w:themeColor="text1"/>
          <w:u w:color="000000" w:themeColor="text1"/>
        </w:rPr>
        <w:t>‘</w:t>
      </w:r>
      <w:r w:rsidR="00C1015D">
        <w:rPr>
          <w:color w:val="000000" w:themeColor="text1"/>
          <w:u w:color="000000" w:themeColor="text1"/>
        </w:rPr>
        <w:t>No Weapons Allowed</w:t>
      </w:r>
      <w:r w:rsidR="00F43C13" w:rsidRPr="00F43C13">
        <w:rPr>
          <w:color w:val="000000" w:themeColor="text1"/>
          <w:u w:color="000000" w:themeColor="text1"/>
        </w:rPr>
        <w:t>’</w:t>
      </w:r>
      <w:r w:rsidR="00C1015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”</w:t>
      </w:r>
    </w:p>
    <w:p w:rsidR="00972CEA" w:rsidRDefault="00972CEA" w:rsidP="00972C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4C6BBE" w:rsidRDefault="004157F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0625EE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</w:r>
      <w:r w:rsidR="004C6BBE">
        <w:rPr>
          <w:rFonts w:eastAsia="Times New Roman"/>
        </w:rPr>
        <w:t xml:space="preserve">Section </w:t>
      </w:r>
      <w:r w:rsidR="00253ABF">
        <w:rPr>
          <w:rFonts w:eastAsia="Times New Roman"/>
        </w:rPr>
        <w:t>16</w:t>
      </w:r>
      <w:r w:rsidR="00F43C13">
        <w:rPr>
          <w:rFonts w:eastAsia="Times New Roman"/>
        </w:rPr>
        <w:noBreakHyphen/>
      </w:r>
      <w:r w:rsidR="00253ABF">
        <w:rPr>
          <w:rFonts w:eastAsia="Times New Roman"/>
        </w:rPr>
        <w:t>23</w:t>
      </w:r>
      <w:r w:rsidR="00F43C13">
        <w:rPr>
          <w:rFonts w:eastAsia="Times New Roman"/>
        </w:rPr>
        <w:noBreakHyphen/>
      </w:r>
      <w:r w:rsidR="00253ABF">
        <w:rPr>
          <w:rFonts w:eastAsia="Times New Roman"/>
        </w:rPr>
        <w:t>465 of the 1976 Code is amended to read:</w:t>
      </w:r>
    </w:p>
    <w:p w:rsidR="00253ABF" w:rsidRDefault="0025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53ABF" w:rsidRPr="008363C8" w:rsidRDefault="00253ABF" w:rsidP="00253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16</w:t>
      </w:r>
      <w:r w:rsidR="00F43C13">
        <w:rPr>
          <w:rFonts w:eastAsia="Times New Roman"/>
        </w:rPr>
        <w:noBreakHyphen/>
      </w:r>
      <w:r>
        <w:rPr>
          <w:rFonts w:eastAsia="Times New Roman"/>
        </w:rPr>
        <w:t>23</w:t>
      </w:r>
      <w:r w:rsidR="00F43C13">
        <w:rPr>
          <w:rFonts w:eastAsia="Times New Roman"/>
        </w:rPr>
        <w:noBreakHyphen/>
      </w:r>
      <w:r>
        <w:rPr>
          <w:rFonts w:eastAsia="Times New Roman"/>
        </w:rPr>
        <w:t>465.</w:t>
      </w:r>
      <w:r>
        <w:rPr>
          <w:rFonts w:eastAsia="Times New Roman"/>
        </w:rPr>
        <w:tab/>
      </w:r>
      <w:r w:rsidRPr="009A51AC">
        <w:rPr>
          <w:u w:val="single"/>
        </w:rPr>
        <w:t>(A)</w:t>
      </w:r>
      <w:r>
        <w:tab/>
      </w:r>
      <w:r w:rsidRPr="008363C8">
        <w:t>In addition to the penalties provided for by Sections 16</w:t>
      </w:r>
      <w:r w:rsidR="00F43C13">
        <w:noBreakHyphen/>
      </w:r>
      <w:r w:rsidRPr="008363C8">
        <w:t>11</w:t>
      </w:r>
      <w:r w:rsidR="00F43C13">
        <w:noBreakHyphen/>
      </w:r>
      <w:r w:rsidRPr="008363C8">
        <w:t>330 and 16</w:t>
      </w:r>
      <w:r w:rsidR="00F43C13">
        <w:noBreakHyphen/>
      </w:r>
      <w:r w:rsidRPr="008363C8">
        <w:t>23</w:t>
      </w:r>
      <w:r w:rsidR="00F43C13">
        <w:noBreakHyphen/>
      </w:r>
      <w:r w:rsidRPr="008363C8">
        <w:t xml:space="preserve">460 and by Article 1 of Chapter 23 of Title 16, a person convicted of carrying a pistol or firearm into a business which sells alcoholic liquor, beer, or wine for consumption on the premises is guilty of a misdemeanor and, upon conviction, must be fined not more than two thousand dollars or imprisoned not more than three years, or both. </w:t>
      </w:r>
    </w:p>
    <w:p w:rsidR="00253ABF" w:rsidRDefault="00253ABF" w:rsidP="00253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8363C8">
        <w:tab/>
      </w:r>
      <w:r w:rsidRPr="009A51AC">
        <w:rPr>
          <w:u w:val="single"/>
        </w:rPr>
        <w:t>(B)</w:t>
      </w:r>
      <w:r>
        <w:tab/>
      </w:r>
      <w:r w:rsidRPr="008363C8">
        <w:t>In addition to the penalties described above, a person who violates this section while carrying a concealable weapon pursuant to Article 4, Chapter 31, Title 23, must have his concealed weapon permit revoked.</w:t>
      </w:r>
    </w:p>
    <w:p w:rsidR="00253ABF" w:rsidRDefault="00253ABF" w:rsidP="00253A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tab/>
      </w:r>
      <w:r w:rsidRPr="009A51AC">
        <w:rPr>
          <w:u w:val="single"/>
        </w:rPr>
        <w:t>(C)</w:t>
      </w:r>
      <w:r>
        <w:tab/>
      </w:r>
      <w:r w:rsidRPr="009A51AC">
        <w:rPr>
          <w:u w:val="single"/>
        </w:rPr>
        <w:t>The provisions of this section do not apply to a person carrying a concealable weapon pursuant to Article 4, Chapter 31, Title 23 into a business that qualifies as a food service establishment pursuant to Section 61</w:t>
      </w:r>
      <w:r w:rsidR="00F43C13">
        <w:rPr>
          <w:u w:val="single"/>
        </w:rPr>
        <w:noBreakHyphen/>
      </w:r>
      <w:r w:rsidRPr="009A51AC">
        <w:rPr>
          <w:u w:val="single"/>
        </w:rPr>
        <w:t>6</w:t>
      </w:r>
      <w:r w:rsidR="00F43C13">
        <w:rPr>
          <w:u w:val="single"/>
        </w:rPr>
        <w:noBreakHyphen/>
      </w:r>
      <w:r w:rsidRPr="009A51AC">
        <w:rPr>
          <w:u w:val="single"/>
        </w:rPr>
        <w:t>20(2), which has not posted a sign prohibiting the carrying of a concealable weapon upon the premises pursuant to Section 23</w:t>
      </w:r>
      <w:r w:rsidR="00F43C13">
        <w:rPr>
          <w:u w:val="single"/>
        </w:rPr>
        <w:noBreakHyphen/>
      </w:r>
      <w:r w:rsidRPr="009A51AC">
        <w:rPr>
          <w:u w:val="single"/>
        </w:rPr>
        <w:t>31</w:t>
      </w:r>
      <w:r w:rsidR="00F43C13">
        <w:rPr>
          <w:u w:val="single"/>
        </w:rPr>
        <w:noBreakHyphen/>
      </w:r>
      <w:r w:rsidRPr="009A51AC">
        <w:rPr>
          <w:u w:val="single"/>
        </w:rPr>
        <w:t>220.</w:t>
      </w:r>
      <w:r>
        <w:t>”</w:t>
      </w:r>
    </w:p>
    <w:p w:rsidR="004C6BBE" w:rsidRDefault="004C6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53A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4.</w:t>
      </w:r>
      <w:r>
        <w:rPr>
          <w:rFonts w:eastAsia="Times New Roman"/>
        </w:rPr>
        <w:tab/>
      </w:r>
      <w:r w:rsidR="004157F0">
        <w:rPr>
          <w:rFonts w:eastAsia="Times New Roman"/>
        </w:rPr>
        <w:t>This act takes effect upon approval by the Governor.</w:t>
      </w:r>
    </w:p>
    <w:p w:rsidR="00FA16FB" w:rsidRDefault="00F43C1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FA16FB" w:rsidRDefault="00FA16FB" w:rsidP="005E63BA">
      <w:pPr>
        <w:suppressAutoHyphens/>
        <w:jc w:val="both"/>
        <w:rPr>
          <w:rFonts w:eastAsia="Times New Roman"/>
        </w:rPr>
      </w:pPr>
    </w:p>
    <w:sectPr w:rsidR="00FA16FB" w:rsidSect="005E63B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3ABF" w:rsidRDefault="00253ABF" w:rsidP="00522CE0">
      <w:r>
        <w:separator/>
      </w:r>
    </w:p>
  </w:endnote>
  <w:endnote w:type="continuationSeparator" w:id="0">
    <w:p w:rsidR="00253ABF" w:rsidRDefault="00253AB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E17019-77E2-4300-A7D9-FF772A2CE3A3}"/>
    <w:embedBold r:id="rId2" w:fontKey="{4AC21C29-556D-4811-8FC1-8293458E245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ECC4496-D3AD-4D6A-B81E-41814A43067A}"/>
    <w:embedBold r:id="rId4" w:fontKey="{37964C7E-43B2-4421-870D-6AB986E1555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5F32D2-85B5-4312-AE49-D115DA16460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3BA" w:rsidRPr="00FA16FB" w:rsidRDefault="005E63BA" w:rsidP="00FA16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[1436]</w:t>
    </w:r>
    <w:r>
      <w:tab/>
    </w:r>
    <w:r w:rsidR="002052BE">
      <w:fldChar w:fldCharType="begin"/>
    </w:r>
    <w:r w:rsidR="002052BE">
      <w:instrText xml:space="preserve"> PAGE  \* MERGEFORMAT </w:instrText>
    </w:r>
    <w:r w:rsidR="002052BE">
      <w:fldChar w:fldCharType="separate"/>
    </w:r>
    <w:r w:rsidR="002052BE">
      <w:rPr>
        <w:noProof/>
      </w:rPr>
      <w:t>1</w:t>
    </w:r>
    <w:r w:rsidR="002052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3ABF" w:rsidRDefault="00253ABF" w:rsidP="00522CE0">
      <w:r>
        <w:separator/>
      </w:r>
    </w:p>
  </w:footnote>
  <w:footnote w:type="continuationSeparator" w:id="0">
    <w:p w:rsidR="00253ABF" w:rsidRDefault="00253AB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3ALCO.REM.JMK"/>
    <w:docVar w:name="CoverAttorneyInitials" w:val="REM"/>
    <w:docVar w:name="CoverAttorneyLastName" w:val="Maldonado"/>
    <w:docVar w:name="CoverBillType" w:val="b"/>
    <w:docVar w:name="CoverSenator" w:val="JMK"/>
    <w:docVar w:name="dvBillNumber" w:val="1436"/>
    <w:docVar w:name="dvBillNumberPrefix" w:val="S. "/>
    <w:docVar w:name="dvOriginalBody" w:val="Senate"/>
    <w:docVar w:name="fulldraftpath" w:val="L:\S-RES\JMK\003ALCO.REM.JMK.DOCX"/>
    <w:docVar w:name="NameofBody" w:val="S"/>
    <w:docVar w:name="vgroup2" w:val="S-RES"/>
  </w:docVars>
  <w:rsids>
    <w:rsidRoot w:val="00E43B38"/>
    <w:rsid w:val="00042AC1"/>
    <w:rsid w:val="00046516"/>
    <w:rsid w:val="000625EE"/>
    <w:rsid w:val="0007601D"/>
    <w:rsid w:val="000B0720"/>
    <w:rsid w:val="000B5EAF"/>
    <w:rsid w:val="000C38D9"/>
    <w:rsid w:val="000E1578"/>
    <w:rsid w:val="000F6FF1"/>
    <w:rsid w:val="00170561"/>
    <w:rsid w:val="001807BB"/>
    <w:rsid w:val="00186AC9"/>
    <w:rsid w:val="00197DF1"/>
    <w:rsid w:val="001B3DD9"/>
    <w:rsid w:val="001B7E5D"/>
    <w:rsid w:val="001D3BAC"/>
    <w:rsid w:val="002052BE"/>
    <w:rsid w:val="00245C4E"/>
    <w:rsid w:val="00253ABF"/>
    <w:rsid w:val="002A3129"/>
    <w:rsid w:val="002C1321"/>
    <w:rsid w:val="002C5896"/>
    <w:rsid w:val="002D3BED"/>
    <w:rsid w:val="00307C2B"/>
    <w:rsid w:val="0038062A"/>
    <w:rsid w:val="00383247"/>
    <w:rsid w:val="003B7589"/>
    <w:rsid w:val="003D6E2B"/>
    <w:rsid w:val="003E7597"/>
    <w:rsid w:val="004157F0"/>
    <w:rsid w:val="00450668"/>
    <w:rsid w:val="00452636"/>
    <w:rsid w:val="00481E5B"/>
    <w:rsid w:val="004952FA"/>
    <w:rsid w:val="004B6A22"/>
    <w:rsid w:val="004B70F9"/>
    <w:rsid w:val="004C6BBE"/>
    <w:rsid w:val="004D7F37"/>
    <w:rsid w:val="00516BFB"/>
    <w:rsid w:val="00522CE0"/>
    <w:rsid w:val="00565148"/>
    <w:rsid w:val="00593361"/>
    <w:rsid w:val="005A413B"/>
    <w:rsid w:val="005A5017"/>
    <w:rsid w:val="005A648C"/>
    <w:rsid w:val="005A6B65"/>
    <w:rsid w:val="005B7630"/>
    <w:rsid w:val="005E63BA"/>
    <w:rsid w:val="005F1745"/>
    <w:rsid w:val="006C74EA"/>
    <w:rsid w:val="00720D40"/>
    <w:rsid w:val="007318D4"/>
    <w:rsid w:val="00736153"/>
    <w:rsid w:val="00765784"/>
    <w:rsid w:val="007765E4"/>
    <w:rsid w:val="007866FA"/>
    <w:rsid w:val="007A2DEF"/>
    <w:rsid w:val="007A4390"/>
    <w:rsid w:val="007B035A"/>
    <w:rsid w:val="007C3647"/>
    <w:rsid w:val="007E5CB7"/>
    <w:rsid w:val="00801F6E"/>
    <w:rsid w:val="00806CB6"/>
    <w:rsid w:val="008314D2"/>
    <w:rsid w:val="00836D6E"/>
    <w:rsid w:val="00857545"/>
    <w:rsid w:val="008B2F42"/>
    <w:rsid w:val="008C3697"/>
    <w:rsid w:val="008C688A"/>
    <w:rsid w:val="008E185F"/>
    <w:rsid w:val="008F023B"/>
    <w:rsid w:val="00904E16"/>
    <w:rsid w:val="00914128"/>
    <w:rsid w:val="009162B3"/>
    <w:rsid w:val="00927C62"/>
    <w:rsid w:val="00972CEA"/>
    <w:rsid w:val="00983951"/>
    <w:rsid w:val="00984124"/>
    <w:rsid w:val="00984640"/>
    <w:rsid w:val="00995C37"/>
    <w:rsid w:val="009A51AC"/>
    <w:rsid w:val="009C118A"/>
    <w:rsid w:val="00A02011"/>
    <w:rsid w:val="00A16916"/>
    <w:rsid w:val="00A4011E"/>
    <w:rsid w:val="00A86015"/>
    <w:rsid w:val="00A9594E"/>
    <w:rsid w:val="00AE4CC8"/>
    <w:rsid w:val="00AE59C8"/>
    <w:rsid w:val="00B10098"/>
    <w:rsid w:val="00B5790D"/>
    <w:rsid w:val="00B6099A"/>
    <w:rsid w:val="00B661E2"/>
    <w:rsid w:val="00B945C5"/>
    <w:rsid w:val="00BA20EA"/>
    <w:rsid w:val="00BB5AFC"/>
    <w:rsid w:val="00BC0A56"/>
    <w:rsid w:val="00BC79AA"/>
    <w:rsid w:val="00C1015D"/>
    <w:rsid w:val="00C26EA6"/>
    <w:rsid w:val="00C37AFD"/>
    <w:rsid w:val="00C45366"/>
    <w:rsid w:val="00C57023"/>
    <w:rsid w:val="00C74052"/>
    <w:rsid w:val="00C92530"/>
    <w:rsid w:val="00CB187A"/>
    <w:rsid w:val="00CB537B"/>
    <w:rsid w:val="00CC0EC7"/>
    <w:rsid w:val="00CC55E3"/>
    <w:rsid w:val="00D1088B"/>
    <w:rsid w:val="00D14DE6"/>
    <w:rsid w:val="00D156D2"/>
    <w:rsid w:val="00D7161A"/>
    <w:rsid w:val="00D86943"/>
    <w:rsid w:val="00DA47B9"/>
    <w:rsid w:val="00DE4EF4"/>
    <w:rsid w:val="00E05226"/>
    <w:rsid w:val="00E058D3"/>
    <w:rsid w:val="00E43B38"/>
    <w:rsid w:val="00E76AD9"/>
    <w:rsid w:val="00E91E2F"/>
    <w:rsid w:val="00EA3546"/>
    <w:rsid w:val="00EB47AE"/>
    <w:rsid w:val="00EC34E1"/>
    <w:rsid w:val="00F0234A"/>
    <w:rsid w:val="00F348AE"/>
    <w:rsid w:val="00F43C13"/>
    <w:rsid w:val="00F528B8"/>
    <w:rsid w:val="00F52959"/>
    <w:rsid w:val="00F55884"/>
    <w:rsid w:val="00FA16FB"/>
    <w:rsid w:val="00FC0D36"/>
    <w:rsid w:val="00FD77F3"/>
    <w:rsid w:val="00FE3212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oNotEmbedSmartTags/>
  <w:decimalSymbol w:val="."/>
  <w:listSeparator w:val=","/>
  <w15:docId w15:val="{24E7B5B9-80ED-4260-B217-6F7A86100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E63B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436_2012041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4-12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4-12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1421</Words>
  <Characters>7416</Characters>
  <Application>Microsoft Office Word</Application>
  <DocSecurity>4</DocSecurity>
  <Lines>201</Lines>
  <Paragraphs>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1436: Restaurants, taverns and bars - South Carolina Legislature Online</dc:title>
  <dc:subject/>
  <dc:creator>bobmaldonado</dc:creator>
  <cp:keywords/>
  <dc:description/>
  <cp:lastModifiedBy>N Cumfer</cp:lastModifiedBy>
  <cp:revision>2</cp:revision>
  <cp:lastPrinted>2012-04-12T13:50:00Z</cp:lastPrinted>
  <dcterms:created xsi:type="dcterms:W3CDTF">2014-11-21T21:18:00Z</dcterms:created>
  <dcterms:modified xsi:type="dcterms:W3CDTF">2014-11-21T21:18:00Z</dcterms:modified>
</cp:coreProperties>
</file>