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4CA" w:rsidRDefault="00C054CA" w:rsidP="00C054CA">
      <w:pPr>
        <w:widowControl w:val="0"/>
        <w:jc w:val="center"/>
      </w:pPr>
      <w:bookmarkStart w:id="0" w:name="_GoBack"/>
      <w:bookmarkEnd w:id="0"/>
      <w:r w:rsidRPr="00C054CA">
        <w:rPr>
          <w:b/>
        </w:rPr>
        <w:t>South Carolina General Assembly</w:t>
      </w:r>
    </w:p>
    <w:p w:rsidR="00C054CA" w:rsidRDefault="00C054CA" w:rsidP="00C054CA">
      <w:pPr>
        <w:widowControl w:val="0"/>
        <w:jc w:val="center"/>
      </w:pPr>
      <w:r>
        <w:t>119th Session, 2011-2012</w:t>
      </w:r>
    </w:p>
    <w:p w:rsidR="00C054CA" w:rsidRDefault="00C054CA" w:rsidP="00C054CA">
      <w:pPr>
        <w:widowControl w:val="0"/>
      </w:pPr>
    </w:p>
    <w:p w:rsidR="00C054CA" w:rsidRDefault="00C054CA" w:rsidP="00C054CA">
      <w:pPr>
        <w:widowControl w:val="0"/>
        <w:rPr>
          <w:b/>
        </w:rPr>
      </w:pPr>
      <w:r w:rsidRPr="00C054CA">
        <w:rPr>
          <w:b/>
        </w:rPr>
        <w:t>S.</w:t>
      </w:r>
      <w:r>
        <w:rPr>
          <w:b/>
        </w:rPr>
        <w:t xml:space="preserve"> </w:t>
      </w:r>
      <w:r w:rsidRPr="00C054CA">
        <w:rPr>
          <w:b/>
        </w:rPr>
        <w:t>218</w:t>
      </w:r>
    </w:p>
    <w:p w:rsidR="00C054CA" w:rsidRDefault="00C054CA" w:rsidP="00C054CA">
      <w:pPr>
        <w:widowControl w:val="0"/>
        <w:rPr>
          <w:b/>
        </w:rPr>
      </w:pPr>
    </w:p>
    <w:p w:rsidR="00C054CA" w:rsidRDefault="00C054CA" w:rsidP="00C054CA">
      <w:pPr>
        <w:widowControl w:val="0"/>
      </w:pPr>
      <w:r w:rsidRPr="00C054CA">
        <w:rPr>
          <w:b/>
        </w:rPr>
        <w:t>STATUS INFORMATION</w:t>
      </w:r>
    </w:p>
    <w:p w:rsidR="00C054CA" w:rsidRDefault="00C054CA" w:rsidP="00C054CA">
      <w:pPr>
        <w:widowControl w:val="0"/>
      </w:pPr>
    </w:p>
    <w:p w:rsidR="00C054CA" w:rsidRDefault="00C054CA" w:rsidP="00C054CA">
      <w:pPr>
        <w:widowControl w:val="0"/>
      </w:pPr>
      <w:r>
        <w:t>General Bill</w:t>
      </w:r>
    </w:p>
    <w:p w:rsidR="00C054CA" w:rsidRDefault="00C054CA" w:rsidP="00C054CA">
      <w:pPr>
        <w:widowControl w:val="0"/>
      </w:pPr>
      <w:r>
        <w:t>Sponsors: Senator Jackson</w:t>
      </w:r>
    </w:p>
    <w:p w:rsidR="00C054CA" w:rsidRDefault="00C054CA" w:rsidP="00C054CA">
      <w:pPr>
        <w:widowControl w:val="0"/>
      </w:pPr>
      <w:r>
        <w:t>Document Path: l:\s-res\dj\003home.kmm.dj.docx</w:t>
      </w:r>
    </w:p>
    <w:p w:rsidR="00C054CA" w:rsidRDefault="00C054CA" w:rsidP="00C054CA">
      <w:pPr>
        <w:widowControl w:val="0"/>
      </w:pPr>
    </w:p>
    <w:p w:rsidR="00551FC8" w:rsidRDefault="00551FC8" w:rsidP="00C054CA">
      <w:pPr>
        <w:widowControl w:val="0"/>
      </w:pPr>
      <w:r>
        <w:t>Introduced in the Senate on January 11, 2011</w:t>
      </w:r>
    </w:p>
    <w:p w:rsidR="00551FC8" w:rsidRPr="00551FC8" w:rsidRDefault="00551FC8" w:rsidP="00C054CA">
      <w:pPr>
        <w:widowControl w:val="0"/>
      </w:pPr>
      <w:r>
        <w:t xml:space="preserve">Currently residing in the Senate Committee on </w:t>
      </w:r>
      <w:r w:rsidRPr="00551FC8">
        <w:rPr>
          <w:b/>
        </w:rPr>
        <w:t>Judiciary</w:t>
      </w:r>
    </w:p>
    <w:p w:rsidR="00551FC8" w:rsidRDefault="00551FC8" w:rsidP="00C054CA">
      <w:pPr>
        <w:widowControl w:val="0"/>
      </w:pPr>
    </w:p>
    <w:p w:rsidR="00C054CA" w:rsidRDefault="00C054CA" w:rsidP="00C054CA">
      <w:pPr>
        <w:widowControl w:val="0"/>
      </w:pPr>
      <w:r>
        <w:t xml:space="preserve">Summary: </w:t>
      </w:r>
      <w:r w:rsidR="00F57664">
        <w:t>S.C. Homeowners Association Act</w:t>
      </w:r>
    </w:p>
    <w:p w:rsidR="00C054CA" w:rsidRDefault="00C054CA" w:rsidP="00C054CA">
      <w:pPr>
        <w:widowControl w:val="0"/>
      </w:pPr>
    </w:p>
    <w:p w:rsidR="00C054CA" w:rsidRDefault="00C054CA" w:rsidP="00C054CA">
      <w:pPr>
        <w:widowControl w:val="0"/>
      </w:pPr>
    </w:p>
    <w:p w:rsidR="00C054CA" w:rsidRDefault="00C054CA" w:rsidP="00C054CA">
      <w:pPr>
        <w:widowControl w:val="0"/>
        <w:tabs>
          <w:tab w:val="center" w:pos="590"/>
          <w:tab w:val="center" w:pos="1440"/>
          <w:tab w:val="left" w:pos="1872"/>
          <w:tab w:val="left" w:pos="9187"/>
        </w:tabs>
      </w:pPr>
      <w:r w:rsidRPr="00C054CA">
        <w:rPr>
          <w:b/>
        </w:rPr>
        <w:t>HISTORY OF LEGISLATIVE ACTIONS</w:t>
      </w:r>
    </w:p>
    <w:p w:rsidR="00C054CA" w:rsidRDefault="00C054CA" w:rsidP="00C054CA">
      <w:pPr>
        <w:widowControl w:val="0"/>
        <w:tabs>
          <w:tab w:val="center" w:pos="590"/>
          <w:tab w:val="center" w:pos="1440"/>
          <w:tab w:val="left" w:pos="1872"/>
          <w:tab w:val="left" w:pos="9187"/>
        </w:tabs>
      </w:pPr>
    </w:p>
    <w:p w:rsidR="00C054CA" w:rsidRPr="00C054CA" w:rsidRDefault="00C054CA" w:rsidP="00C054CA">
      <w:pPr>
        <w:widowControl w:val="0"/>
        <w:tabs>
          <w:tab w:val="center" w:pos="590"/>
          <w:tab w:val="center" w:pos="1440"/>
          <w:tab w:val="left" w:pos="1872"/>
          <w:tab w:val="left" w:pos="9187"/>
        </w:tabs>
      </w:pPr>
      <w:r w:rsidRPr="00C054CA">
        <w:rPr>
          <w:u w:val="single"/>
        </w:rPr>
        <w:tab/>
        <w:t>Date</w:t>
      </w:r>
      <w:r w:rsidRPr="00C054CA">
        <w:rPr>
          <w:u w:val="single"/>
        </w:rPr>
        <w:tab/>
        <w:t>Body</w:t>
      </w:r>
      <w:r w:rsidRPr="00C054CA">
        <w:rPr>
          <w:u w:val="single"/>
        </w:rPr>
        <w:tab/>
        <w:t>Action Description with journal page number</w:t>
      </w:r>
      <w:r w:rsidRPr="00C054CA">
        <w:rPr>
          <w:u w:val="single"/>
        </w:rPr>
        <w:tab/>
      </w:r>
    </w:p>
    <w:p w:rsidR="003C08EC" w:rsidRDefault="003C08EC" w:rsidP="003C08EC">
      <w:pPr>
        <w:widowControl w:val="0"/>
        <w:tabs>
          <w:tab w:val="right" w:pos="1008"/>
          <w:tab w:val="left" w:pos="1152"/>
          <w:tab w:val="left" w:pos="1872"/>
          <w:tab w:val="left" w:pos="9187"/>
        </w:tabs>
        <w:ind w:left="2088" w:hanging="2088"/>
      </w:pPr>
      <w:r>
        <w:tab/>
        <w:t>12/8/2010</w:t>
      </w:r>
      <w:r>
        <w:tab/>
        <w:t>Senate</w:t>
      </w:r>
      <w:r>
        <w:tab/>
      </w:r>
      <w:r w:rsidRPr="00552434">
        <w:t>Prefiled</w:t>
      </w:r>
    </w:p>
    <w:p w:rsidR="003C08EC" w:rsidRDefault="003C08EC" w:rsidP="003C08EC">
      <w:pPr>
        <w:widowControl w:val="0"/>
        <w:tabs>
          <w:tab w:val="right" w:pos="1008"/>
          <w:tab w:val="left" w:pos="1152"/>
          <w:tab w:val="left" w:pos="1872"/>
          <w:tab w:val="left" w:pos="9187"/>
        </w:tabs>
        <w:ind w:left="2088" w:hanging="2088"/>
      </w:pPr>
      <w:r>
        <w:tab/>
        <w:t>12/8/2010</w:t>
      </w:r>
      <w:r>
        <w:tab/>
        <w:t>Senate</w:t>
      </w:r>
      <w:r>
        <w:tab/>
      </w:r>
      <w:r w:rsidRPr="00552434">
        <w:t xml:space="preserve">Referred to Committee on </w:t>
      </w:r>
      <w:r w:rsidRPr="00552434">
        <w:rPr>
          <w:b/>
        </w:rPr>
        <w:t>Judiciary</w:t>
      </w:r>
    </w:p>
    <w:p w:rsidR="003C08EC" w:rsidRDefault="003C08EC" w:rsidP="003C08EC">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552434">
        <w:t>(</w:t>
      </w:r>
      <w:hyperlink r:id="rId6" w:history="1">
        <w:r w:rsidRPr="00552434">
          <w:rPr>
            <w:rStyle w:val="Hyperlink"/>
          </w:rPr>
          <w:t>Senate Journal</w:t>
        </w:r>
        <w:r w:rsidRPr="00552434">
          <w:rPr>
            <w:rStyle w:val="Hyperlink"/>
          </w:rPr>
          <w:noBreakHyphen/>
          <w:t>page 101</w:t>
        </w:r>
      </w:hyperlink>
      <w:r w:rsidRPr="00552434">
        <w:t>)</w:t>
      </w:r>
    </w:p>
    <w:p w:rsidR="003C08EC" w:rsidRDefault="003C08EC" w:rsidP="003C08EC">
      <w:pPr>
        <w:widowControl w:val="0"/>
        <w:tabs>
          <w:tab w:val="right" w:pos="1008"/>
          <w:tab w:val="left" w:pos="1152"/>
          <w:tab w:val="left" w:pos="1872"/>
          <w:tab w:val="left" w:pos="9187"/>
        </w:tabs>
        <w:ind w:left="2088" w:hanging="2088"/>
      </w:pPr>
      <w:r>
        <w:tab/>
        <w:t>1/11/2011</w:t>
      </w:r>
      <w:r>
        <w:tab/>
        <w:t>Senate</w:t>
      </w:r>
      <w:r>
        <w:tab/>
      </w:r>
      <w:r w:rsidRPr="00552434">
        <w:t>Ref</w:t>
      </w:r>
      <w:r>
        <w:t xml:space="preserve">erred to Committee on </w:t>
      </w:r>
      <w:r w:rsidRPr="00552434">
        <w:rPr>
          <w:b/>
        </w:rPr>
        <w:t>Judiciary</w:t>
      </w:r>
      <w:r>
        <w:t xml:space="preserve"> </w:t>
      </w:r>
      <w:r w:rsidRPr="00552434">
        <w:t>(</w:t>
      </w:r>
      <w:hyperlink r:id="rId7" w:history="1">
        <w:r w:rsidRPr="00552434">
          <w:rPr>
            <w:rStyle w:val="Hyperlink"/>
          </w:rPr>
          <w:t>Senate Journal</w:t>
        </w:r>
        <w:r w:rsidRPr="00552434">
          <w:rPr>
            <w:rStyle w:val="Hyperlink"/>
          </w:rPr>
          <w:noBreakHyphen/>
          <w:t>page 101</w:t>
        </w:r>
      </w:hyperlink>
      <w:r w:rsidRPr="00552434">
        <w:t>)</w:t>
      </w:r>
    </w:p>
    <w:p w:rsidR="003C08EC" w:rsidRDefault="003C08EC" w:rsidP="003C08EC">
      <w:pPr>
        <w:widowControl w:val="0"/>
        <w:tabs>
          <w:tab w:val="right" w:pos="1008"/>
          <w:tab w:val="left" w:pos="1152"/>
          <w:tab w:val="left" w:pos="1872"/>
          <w:tab w:val="left" w:pos="9187"/>
        </w:tabs>
        <w:ind w:left="2088" w:hanging="2088"/>
      </w:pPr>
      <w:r>
        <w:tab/>
        <w:t>3/14/2011</w:t>
      </w:r>
      <w:r>
        <w:tab/>
        <w:t>Senate</w:t>
      </w:r>
      <w:r>
        <w:tab/>
      </w:r>
      <w:r w:rsidRPr="00552434">
        <w:t>Referred to S</w:t>
      </w:r>
      <w:r>
        <w:t xml:space="preserve">ubcommittee: Malloy (ch), Ford, </w:t>
      </w:r>
      <w:r w:rsidRPr="00552434">
        <w:t>Massey, S.Martin</w:t>
      </w:r>
    </w:p>
    <w:p w:rsidR="003C08EC" w:rsidRDefault="003C08EC" w:rsidP="003C08EC">
      <w:pPr>
        <w:widowControl w:val="0"/>
        <w:tabs>
          <w:tab w:val="right" w:pos="1008"/>
          <w:tab w:val="left" w:pos="1152"/>
          <w:tab w:val="left" w:pos="1872"/>
          <w:tab w:val="left" w:pos="9187"/>
        </w:tabs>
        <w:ind w:left="2088" w:hanging="2088"/>
      </w:pPr>
    </w:p>
    <w:p w:rsidR="00C054CA" w:rsidRPr="00C054CA" w:rsidRDefault="00C054CA" w:rsidP="00C054CA">
      <w:pPr>
        <w:widowControl w:val="0"/>
        <w:tabs>
          <w:tab w:val="right" w:pos="1008"/>
          <w:tab w:val="left" w:pos="1152"/>
          <w:tab w:val="left" w:pos="1872"/>
          <w:tab w:val="left" w:pos="9187"/>
        </w:tabs>
        <w:ind w:left="2088" w:hanging="2088"/>
      </w:pPr>
    </w:p>
    <w:p w:rsidR="00C054CA" w:rsidRDefault="00C054CA" w:rsidP="00C054CA">
      <w:pPr>
        <w:widowControl w:val="0"/>
      </w:pPr>
      <w:r w:rsidRPr="00C054CA">
        <w:rPr>
          <w:b/>
        </w:rPr>
        <w:lastRenderedPageBreak/>
        <w:t>VERSIONS OF THIS BILL</w:t>
      </w:r>
    </w:p>
    <w:p w:rsidR="00C054CA" w:rsidRDefault="00C054CA" w:rsidP="00C054CA">
      <w:pPr>
        <w:widowControl w:val="0"/>
      </w:pPr>
    </w:p>
    <w:p w:rsidR="00C054CA" w:rsidRDefault="00A42D68" w:rsidP="00C054CA">
      <w:pPr>
        <w:widowControl w:val="0"/>
      </w:pPr>
      <w:hyperlink r:id="rId8" w:history="1">
        <w:r w:rsidR="00C054CA">
          <w:rPr>
            <w:rStyle w:val="Hyperlink"/>
          </w:rPr>
          <w:t>12/8/2010</w:t>
        </w:r>
      </w:hyperlink>
    </w:p>
    <w:p w:rsidR="00C054CA" w:rsidRDefault="00C054CA" w:rsidP="00C054CA"/>
    <w:p w:rsidR="00C054CA" w:rsidRDefault="00C054CA" w:rsidP="00C054CA">
      <w:pPr>
        <w:sectPr w:rsidR="00C054CA" w:rsidSect="00C054C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26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130"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bookmarkStart w:id="3" w:name="titletop"/>
      <w:bookmarkEnd w:id="3"/>
      <w:r>
        <w:rPr>
          <w:rFonts w:eastAsia="Times New Roman"/>
          <w:color w:val="000000"/>
          <w:szCs w:val="20"/>
        </w:rPr>
        <w:t xml:space="preserve">TO AMEND </w:t>
      </w:r>
      <w:r w:rsidR="00443130">
        <w:rPr>
          <w:rFonts w:eastAsia="Times New Roman"/>
          <w:color w:val="000000"/>
          <w:szCs w:val="20"/>
        </w:rPr>
        <w:t>TITLE 27 OF THE 1976 CODE</w:t>
      </w:r>
      <w:r w:rsidR="002808EF">
        <w:rPr>
          <w:rFonts w:eastAsia="Times New Roman"/>
          <w:color w:val="000000"/>
          <w:szCs w:val="20"/>
        </w:rPr>
        <w:t>,</w:t>
      </w:r>
      <w:r w:rsidR="00443130">
        <w:rPr>
          <w:rFonts w:eastAsia="Times New Roman"/>
          <w:color w:val="000000"/>
          <w:szCs w:val="20"/>
        </w:rPr>
        <w:t xml:space="preserve"> </w:t>
      </w:r>
      <w:r>
        <w:rPr>
          <w:rFonts w:eastAsia="Times New Roman"/>
          <w:color w:val="000000"/>
          <w:szCs w:val="20"/>
        </w:rPr>
        <w:t>BY ADDING CHAPTER 52</w:t>
      </w:r>
      <w:r w:rsidR="002808EF">
        <w:rPr>
          <w:rFonts w:eastAsia="Times New Roman"/>
          <w:color w:val="000000"/>
          <w:szCs w:val="20"/>
        </w:rPr>
        <w:t>,</w:t>
      </w:r>
      <w:r>
        <w:rPr>
          <w:rFonts w:eastAsia="Times New Roman"/>
          <w:color w:val="000000"/>
          <w:szCs w:val="20"/>
        </w:rPr>
        <w:t xml:space="preserve"> TO ENACT THE </w:t>
      </w:r>
      <w:r w:rsidR="00443130">
        <w:rPr>
          <w:rFonts w:eastAsia="Times New Roman"/>
          <w:color w:val="000000"/>
          <w:szCs w:val="20"/>
        </w:rPr>
        <w:t>“</w:t>
      </w:r>
      <w:r>
        <w:rPr>
          <w:rFonts w:eastAsia="Times New Roman"/>
          <w:color w:val="000000"/>
          <w:szCs w:val="20"/>
        </w:rPr>
        <w:t>SOUTH CAROLINA HOMEOWNERS’ ASSOCIATION ACT</w:t>
      </w:r>
      <w:r w:rsidR="00443130">
        <w:rPr>
          <w:rFonts w:eastAsia="Times New Roman"/>
          <w:color w:val="000000"/>
          <w:szCs w:val="20"/>
        </w:rPr>
        <w:t>.”</w:t>
      </w:r>
    </w:p>
    <w:p w:rsidR="00443130" w:rsidRDefault="00443130"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SECTION</w:t>
      </w:r>
      <w:r>
        <w:rPr>
          <w:rFonts w:eastAsia="Times New Roman"/>
          <w:szCs w:val="20"/>
        </w:rPr>
        <w:tab/>
        <w:t>1.</w:t>
      </w:r>
      <w:r>
        <w:rPr>
          <w:rFonts w:eastAsia="Times New Roman"/>
          <w:szCs w:val="20"/>
        </w:rPr>
        <w:tab/>
      </w:r>
      <w:r>
        <w:rPr>
          <w:rFonts w:eastAsia="Times New Roman"/>
          <w:color w:val="000000"/>
          <w:szCs w:val="20"/>
        </w:rPr>
        <w:t>This act may be cited as the “South Carolina Homeowners’ Association Act”.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2.</w:t>
      </w:r>
      <w:r>
        <w:rPr>
          <w:rFonts w:eastAsia="Times New Roman"/>
          <w:color w:val="000000"/>
          <w:szCs w:val="20"/>
        </w:rPr>
        <w:tab/>
        <w:t>Title 27 of the 1976 Code is amended by adding: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r>
        <w:rPr>
          <w:rFonts w:eastAsia="Times New Roman"/>
          <w:color w:val="000000"/>
          <w:szCs w:val="20"/>
        </w:rPr>
        <w:t>“CHAPTER 52</w:t>
      </w: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r>
        <w:rPr>
          <w:rFonts w:eastAsia="Times New Roman"/>
          <w:color w:val="000000"/>
          <w:szCs w:val="20"/>
        </w:rPr>
        <w:t>South Carolina Homeowners’ Association Act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110.</w:t>
      </w:r>
      <w:r>
        <w:rPr>
          <w:rFonts w:eastAsia="Times New Roman"/>
          <w:color w:val="000000"/>
          <w:szCs w:val="20"/>
        </w:rPr>
        <w:tab/>
      </w:r>
      <w:r>
        <w:rPr>
          <w:rFonts w:eastAsia="Times New Roman"/>
          <w:color w:val="000000"/>
          <w:szCs w:val="20"/>
        </w:rPr>
        <w:tab/>
        <w:t>As used in this chapter: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w:t>
      </w:r>
      <w:r>
        <w:rPr>
          <w:rFonts w:eastAsia="Times New Roman"/>
          <w:color w:val="000000"/>
          <w:szCs w:val="20"/>
        </w:rPr>
        <w:tab/>
        <w:t>‘Adjudicatory panel’ means a committee composed of association members appointed by the board of directors for the purpose of conducting a hearing pursuant to Sections 27</w:t>
      </w:r>
      <w:r>
        <w:rPr>
          <w:rFonts w:eastAsia="Times New Roman"/>
          <w:color w:val="000000"/>
          <w:szCs w:val="20"/>
        </w:rPr>
        <w:noBreakHyphen/>
        <w:t>52</w:t>
      </w:r>
      <w:r>
        <w:rPr>
          <w:rFonts w:eastAsia="Times New Roman"/>
          <w:color w:val="000000"/>
          <w:szCs w:val="20"/>
        </w:rPr>
        <w:noBreakHyphen/>
        <w:t>170 and 27</w:t>
      </w:r>
      <w:r>
        <w:rPr>
          <w:rFonts w:eastAsia="Times New Roman"/>
          <w:color w:val="000000"/>
          <w:szCs w:val="20"/>
        </w:rPr>
        <w:noBreakHyphen/>
        <w:t>52</w:t>
      </w:r>
      <w:r>
        <w:rPr>
          <w:rFonts w:eastAsia="Times New Roman"/>
          <w:color w:val="000000"/>
          <w:szCs w:val="20"/>
        </w:rPr>
        <w:noBreakHyphen/>
        <w:t>180.  A member of the adjudicatory panel may not be a member of the board of directors.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(2)</w:t>
      </w:r>
      <w:r>
        <w:rPr>
          <w:rFonts w:eastAsia="Times New Roman"/>
          <w:color w:val="000000"/>
          <w:szCs w:val="20"/>
        </w:rPr>
        <w:tab/>
        <w:t>‘Assessment’ means a sum of money payable to the association, to the developer or other owner of common areas, or to recreational facilities or other properties serving lots or units by the owners of one or more lots or units as authorized in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(3)</w:t>
      </w:r>
      <w:r>
        <w:rPr>
          <w:rFonts w:eastAsia="Times New Roman"/>
          <w:color w:val="000000"/>
          <w:szCs w:val="20"/>
        </w:rPr>
        <w:tab/>
        <w:t>‘Board of directors’ means the executive body of a homeowners’ association or a committee that exercises the power of the executive body by resolution or bylaw.</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(4)</w:t>
      </w:r>
      <w:r>
        <w:rPr>
          <w:rFonts w:eastAsia="Times New Roman"/>
          <w:color w:val="000000"/>
          <w:szCs w:val="20"/>
        </w:rPr>
        <w:tab/>
        <w:t>‘Common area’ means all property within a community owned or leased by an association or dedicated for use or maintenance by the association or its members, regardless of whether title has been conveyed to or retained by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(5)</w:t>
      </w:r>
      <w:r>
        <w:rPr>
          <w:rFonts w:eastAsia="Times New Roman"/>
          <w:color w:val="000000"/>
          <w:szCs w:val="20"/>
        </w:rPr>
        <w:tab/>
        <w:t>‘Declarant’ means the person or entity signing the declaration and its successors or assigns who may submit property to a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(6)</w:t>
      </w:r>
      <w:r>
        <w:rPr>
          <w:rFonts w:eastAsia="Times New Roman"/>
          <w:color w:val="000000"/>
          <w:szCs w:val="20"/>
        </w:rPr>
        <w:tab/>
        <w:t>‘Declaration’ means an instrument, including an amendment or supplement to the instrument, however denominated, that subjects land comprising a community to the jurisdiction and control of a homeowners’ association in which owners of the lots or units, or their association representatives, must be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(7)</w:t>
      </w:r>
      <w:r>
        <w:rPr>
          <w:rFonts w:eastAsia="Times New Roman"/>
          <w:color w:val="000000"/>
          <w:szCs w:val="20"/>
        </w:rPr>
        <w:tab/>
        <w:t>‘Department’ means the South Carolina Department of Consumer Affairs.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(8)</w:t>
      </w:r>
      <w:r>
        <w:rPr>
          <w:rFonts w:eastAsia="Times New Roman"/>
          <w:color w:val="000000"/>
          <w:szCs w:val="20"/>
        </w:rPr>
        <w:tab/>
        <w:t>‘Governing document’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(9)</w:t>
      </w:r>
      <w:r>
        <w:rPr>
          <w:rFonts w:eastAsia="Times New Roman"/>
          <w:color w:val="000000"/>
          <w:szCs w:val="20"/>
        </w:rPr>
        <w:tab/>
        <w:t>‘Homeowners’ association’ or ‘association’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(10)</w:t>
      </w:r>
      <w:r>
        <w:rPr>
          <w:rFonts w:eastAsia="Times New Roman"/>
          <w:color w:val="000000"/>
          <w:szCs w:val="20"/>
        </w:rPr>
        <w:tab/>
        <w:t>‘Lot’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(11)</w:t>
      </w:r>
      <w:r>
        <w:rPr>
          <w:rFonts w:eastAsia="Times New Roman"/>
          <w:color w:val="000000"/>
          <w:szCs w:val="20"/>
        </w:rPr>
        <w:tab/>
        <w:t>‘Member’ means a member of a homeowners’ association, and may include, but is not limited to, a lot or unit owner or an association representing lot or unit owners or a combination thereof, and includes a person or entity obligated by the governing documents to pay an assessment.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(12)</w:t>
      </w:r>
      <w:r>
        <w:rPr>
          <w:rFonts w:eastAsia="Times New Roman"/>
          <w:color w:val="000000"/>
          <w:szCs w:val="20"/>
        </w:rPr>
        <w:tab/>
        <w:t>‘Person’ means an individual, corporation, partnership, association, unincorporated organization, or other form of entity, however organized, including a nonprofit organization.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(13)</w:t>
      </w:r>
      <w:r>
        <w:rPr>
          <w:rFonts w:eastAsia="Times New Roman"/>
          <w:color w:val="000000"/>
          <w:szCs w:val="20"/>
        </w:rPr>
        <w:tab/>
        <w:t>‘Unit’ means property in a horizontal property regime pursuant to Section 27</w:t>
      </w:r>
      <w:r>
        <w:rPr>
          <w:rFonts w:eastAsia="Times New Roman"/>
          <w:color w:val="000000"/>
          <w:szCs w:val="20"/>
        </w:rPr>
        <w:noBreakHyphen/>
        <w:t>31</w:t>
      </w:r>
      <w:r>
        <w:rPr>
          <w:rFonts w:eastAsia="Times New Roman"/>
          <w:color w:val="000000"/>
          <w:szCs w:val="20"/>
        </w:rPr>
        <w:noBreakHyphen/>
        <w:t>10 et seq.</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120.</w:t>
      </w:r>
      <w:r>
        <w:rPr>
          <w:rFonts w:eastAsia="Times New Roman"/>
          <w:color w:val="000000"/>
          <w:szCs w:val="20"/>
        </w:rPr>
        <w:tab/>
      </w:r>
      <w:r>
        <w:rPr>
          <w:rFonts w:eastAsia="Times New Roman"/>
          <w:color w:val="000000"/>
          <w:szCs w:val="20"/>
        </w:rPr>
        <w:tab/>
        <w:t xml:space="preserve">A person may not act as a homeowners’ association without first receiving a certificate of registration from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130.</w:t>
      </w:r>
      <w:r>
        <w:rPr>
          <w:rFonts w:eastAsia="Times New Roman"/>
          <w:color w:val="000000"/>
          <w:szCs w:val="20"/>
        </w:rPr>
        <w:tab/>
      </w:r>
      <w:r>
        <w:rPr>
          <w:rFonts w:eastAsia="Times New Roman"/>
          <w:color w:val="000000"/>
          <w:szCs w:val="20"/>
        </w:rPr>
        <w:tab/>
        <w:t>(A)</w:t>
      </w:r>
      <w:r>
        <w:rPr>
          <w:rFonts w:eastAsia="Times New Roman"/>
          <w:color w:val="000000"/>
          <w:szCs w:val="20"/>
        </w:rPr>
        <w:tab/>
        <w:t>Upon filing a declaration , the declarant must file an application for a preliminary registration with the department on a form prescribed by the department.  The application must be in writing, under oath, and, at a minimum,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name, address, and telephone number of the declarant;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the name, address, and telephone number of the declarant’s employer;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anticipated number of lots or units to be included in the homeowners’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a copy of the declaration, master deed, or master lease and restrictive covenants.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An application for preliminary registration must be accompanied by a nonrefundable fee of one hundred dollars.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Upon the formation of the homeowners’ association’s board of directors and the imposition of assessments, the homeowners’ association must submit an application for registration pursuant to Section 27</w:t>
      </w:r>
      <w:r>
        <w:rPr>
          <w:rFonts w:eastAsia="Times New Roman"/>
          <w:color w:val="000000"/>
          <w:szCs w:val="20"/>
        </w:rPr>
        <w:noBreakHyphen/>
        <w:t>52</w:t>
      </w:r>
      <w:r>
        <w:rPr>
          <w:rFonts w:eastAsia="Times New Roman"/>
          <w:color w:val="000000"/>
          <w:szCs w:val="20"/>
        </w:rPr>
        <w:noBreakHyphen/>
        <w:t>140.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140.</w:t>
      </w:r>
      <w:r>
        <w:rPr>
          <w:rFonts w:eastAsia="Times New Roman"/>
          <w:color w:val="000000"/>
          <w:szCs w:val="20"/>
        </w:rPr>
        <w:tab/>
      </w:r>
      <w:r>
        <w:rPr>
          <w:rFonts w:eastAsia="Times New Roman"/>
          <w:color w:val="000000"/>
          <w:szCs w:val="20"/>
        </w:rPr>
        <w:tab/>
        <w:t>(A)</w:t>
      </w:r>
      <w:r>
        <w:rPr>
          <w:rFonts w:eastAsia="Times New Roman"/>
          <w:color w:val="000000"/>
          <w:szCs w:val="20"/>
        </w:rPr>
        <w:tab/>
        <w:t>A homeowners’ association shall submit an application for registration to the department on a form prescribed by the department.  The application must be in writing, under oath, and, at a minimum,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name, address, and telephone number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the name of each community manager and the name of any other person who is authorized to manage the common areas of the community;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name, address, and telephone numbers of the members of the board of directors of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the name, address, and telephone numbers of the officers of the homeowners’ association, if any;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the current number of lots or units governed by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the assessments required to be paid by members of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(7)</w:t>
      </w:r>
      <w:r>
        <w:rPr>
          <w:rFonts w:eastAsia="Times New Roman"/>
          <w:color w:val="000000"/>
          <w:szCs w:val="20"/>
        </w:rPr>
        <w:tab/>
        <w:t>a copy of the homeowners’ association’s declaration, articles of incorporation, bylaws, rules, and any amendments to them;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a copy of the disclosure a member is required to give a potential buyer pursuant to Section 27</w:t>
      </w:r>
      <w:r>
        <w:rPr>
          <w:rFonts w:eastAsia="Times New Roman"/>
          <w:color w:val="000000"/>
          <w:szCs w:val="20"/>
        </w:rPr>
        <w:noBreakHyphen/>
        <w:t>52</w:t>
      </w:r>
      <w:r>
        <w:rPr>
          <w:rFonts w:eastAsia="Times New Roman"/>
          <w:color w:val="000000"/>
          <w:szCs w:val="20"/>
        </w:rPr>
        <w:noBreakHyphen/>
        <w:t>200.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If a document required to be submitted by this section exceeds twenty pages, the copy must be reproduced on both sides of the paper.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 xml:space="preserve">An application for registration must be accompanied by a nonrefundable fee of ten dollars for each lot or unit in the community governed by the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150.</w:t>
      </w:r>
      <w:r>
        <w:rPr>
          <w:rFonts w:eastAsia="Times New Roman"/>
          <w:color w:val="000000"/>
          <w:szCs w:val="20"/>
        </w:rPr>
        <w:tab/>
      </w:r>
      <w:r>
        <w:rPr>
          <w:rFonts w:eastAsia="Times New Roman"/>
          <w:color w:val="000000"/>
          <w:szCs w:val="20"/>
        </w:rPr>
        <w:tab/>
        <w:t>(A)</w:t>
      </w:r>
      <w:r>
        <w:rPr>
          <w:rFonts w:eastAsia="Times New Roman"/>
          <w:color w:val="000000"/>
          <w:szCs w:val="20"/>
        </w:rPr>
        <w:tab/>
        <w:t>Meetings of the homeowners’ association must be held in accordance with the provisions of the bylaws at least once each year after the formation of the association.  The bylaws must specify an agent of the association who shall, at least twenty</w:t>
      </w:r>
      <w:r>
        <w:rPr>
          <w:rFonts w:eastAsia="Times New Roman"/>
          <w:color w:val="000000"/>
          <w:szCs w:val="20"/>
        </w:rPr>
        <w:noBreakHyphen/>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unit’s mailing address, or to an address otherwise specified in writing by the member, or sent by electronic means to an address specified in writing by the member.  Notice also must be conspicuously posted no less than forty</w:t>
      </w:r>
      <w:r>
        <w:rPr>
          <w:rFonts w:eastAsia="Times New Roman"/>
          <w:color w:val="000000"/>
          <w:szCs w:val="20"/>
        </w:rPr>
        <w:noBreakHyphen/>
        <w:t>eight hours in advance of the meeting in a common area that is reasonably calculated to be available to the majority of the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Pr>
          <w:rFonts w:eastAsia="Times New Roman"/>
          <w:color w:val="000000"/>
          <w:szCs w:val="20"/>
        </w:rPr>
        <w:noBreakHyphen/>
        <w:t>client privilege.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Unless otherwise required by statutory law, a quorum of the board is present throughout a meeting of the association if members constituting one</w:t>
      </w:r>
      <w:r>
        <w:rPr>
          <w:rFonts w:eastAsia="Times New Roman"/>
          <w:color w:val="000000"/>
          <w:szCs w:val="20"/>
        </w:rPr>
        <w:noBreakHyphen/>
        <w:t>third of the voting interests are present in person or by proxy at the beginning of the meeting.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An amendment to a governing document of the association cannot be made unless two</w:t>
      </w:r>
      <w:r>
        <w:rPr>
          <w:rFonts w:eastAsia="Times New Roman"/>
          <w:color w:val="000000"/>
          <w:szCs w:val="20"/>
        </w:rPr>
        <w:noBreakHyphen/>
        <w:t>thirds of the association’s voting interests, either voting in person or by proxy, approve the amendment.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160.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The homeowners’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At a minimum, each of the following items, as applicable, must be maintained and held in a place easily accessible to the homeowners’ association’s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 copy of plan, specification, permit, or warranty related to improvements constructed on the common areas or other property that the association is obligated to maintain, repair, or replace;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a copy of the association’s declaration, bylaws, articles of incorporation, rules, and any amendments to them;</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minutes of all meetings of the board of directors and of the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a current roster of all members, their mailing addresses, and lot or unit identifications.  The association also shall maintain the electronic mailing address or alternate mailing address designated by members to receive notice pursuant to Section 27</w:t>
      </w:r>
      <w:r>
        <w:rPr>
          <w:rFonts w:eastAsia="Times New Roman"/>
          <w:color w:val="000000"/>
          <w:szCs w:val="20"/>
        </w:rPr>
        <w:noBreakHyphen/>
        <w:t>52</w:t>
      </w:r>
      <w:r>
        <w:rPr>
          <w:rFonts w:eastAsia="Times New Roman"/>
          <w:color w:val="000000"/>
          <w:szCs w:val="20"/>
        </w:rPr>
        <w:noBreakHyphen/>
        <w:t>150;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all of the association’s insurance policies or a copy of them;</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a current copy of all contracts to which the association is a party, including management agreement, lease, or other contract under which the association has an obligation or responsibility;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(7)</w:t>
      </w:r>
      <w:r>
        <w:rPr>
          <w:rFonts w:eastAsia="Times New Roman"/>
          <w:color w:val="000000"/>
          <w:szCs w:val="20"/>
        </w:rPr>
        <w:tab/>
        <w:t>a copy of a bid received by the association in the past year for work to be performed;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a copy of the association’s annual budget for the past three years;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(9)</w:t>
      </w:r>
      <w:r>
        <w:rPr>
          <w:rFonts w:eastAsia="Times New Roman"/>
          <w:color w:val="000000"/>
          <w:szCs w:val="20"/>
        </w:rPr>
        <w:tab/>
        <w:t>the financial and accounting records of the association, including records of receipts and expenditures, a current accounting for each member, association tax returns, and financial reports.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association’s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association’s failure to comply.  The calculation begins on the eleventh business day after receipt of the written request.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The homeowners’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member’s lot or unit mailing address or alternate address provided in writing by the member that the budget is available pursuant to Section 27</w:t>
      </w:r>
      <w:r>
        <w:rPr>
          <w:rFonts w:eastAsia="Times New Roman"/>
          <w:color w:val="000000"/>
          <w:szCs w:val="20"/>
        </w:rPr>
        <w:noBreakHyphen/>
        <w:t>52</w:t>
      </w:r>
      <w:r>
        <w:rPr>
          <w:rFonts w:eastAsia="Times New Roman"/>
          <w:color w:val="000000"/>
          <w:szCs w:val="20"/>
        </w:rPr>
        <w:noBreakHyphen/>
        <w:t>160(C).</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The homeowners’ association shall prepare an annual financial report within ninety days after the close of its fiscal year.  The association shall provide each member with a copy of the budget or written notice to the member’s lot or unit mailing address or alternate address provided in writing by the member that the financial report is available pursuant to Section 27</w:t>
      </w:r>
      <w:r>
        <w:rPr>
          <w:rFonts w:eastAsia="Times New Roman"/>
          <w:color w:val="000000"/>
          <w:szCs w:val="20"/>
        </w:rPr>
        <w:noBreakHyphen/>
        <w:t>52</w:t>
      </w:r>
      <w:r>
        <w:rPr>
          <w:rFonts w:eastAsia="Times New Roman"/>
          <w:color w:val="000000"/>
          <w:szCs w:val="20"/>
        </w:rPr>
        <w:noBreakHyphen/>
        <w:t>160(C).</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(F)</w:t>
      </w:r>
      <w:r>
        <w:rPr>
          <w:rFonts w:eastAsia="Times New Roman"/>
          <w:color w:val="000000"/>
          <w:szCs w:val="20"/>
        </w:rPr>
        <w:tab/>
        <w:t>A homeowners’ association annually shall, on or before April fifteenth, file a written report with the department relating to the operation of the association during the preceding calendar year.  The report must be made under oath on a form prescribed by the department.  The department may impose a late penalty of ten dollars a day for each day the report is past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170.</w:t>
      </w:r>
      <w:r>
        <w:rPr>
          <w:rFonts w:eastAsia="Times New Roman"/>
          <w:color w:val="000000"/>
          <w:szCs w:val="20"/>
        </w:rPr>
        <w:tab/>
      </w:r>
      <w:r>
        <w:rPr>
          <w:rFonts w:eastAsia="Times New Roman"/>
          <w:color w:val="000000"/>
          <w:szCs w:val="20"/>
        </w:rPr>
        <w:tab/>
        <w:t>(A)</w:t>
      </w:r>
      <w:r>
        <w:rPr>
          <w:rFonts w:eastAsia="Times New Roman"/>
          <w:color w:val="000000"/>
          <w:szCs w:val="20"/>
        </w:rPr>
        <w:tab/>
        <w:t>A homeowners’ association shall not charge or attempt to collect an assessment or fine from a member that is not set forth in the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association’s governing documents must prescribe the manner in which expenses are shared and specify the member’s proportional share thereof for annual assessments and special assessments.  An association may not charge a member an annual assessment that is more than twenty percent greater than the previous year’s assessments without the approval of two</w:t>
      </w:r>
      <w:r>
        <w:rPr>
          <w:rFonts w:eastAsia="Times New Roman"/>
          <w:color w:val="000000"/>
          <w:szCs w:val="20"/>
        </w:rPr>
        <w:noBreakHyphen/>
        <w:t>thirds of the members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180.</w:t>
      </w:r>
      <w:r>
        <w:rPr>
          <w:rFonts w:eastAsia="Times New Roman"/>
          <w:color w:val="000000"/>
          <w:szCs w:val="20"/>
        </w:rPr>
        <w:tab/>
        <w:t>(A)</w:t>
      </w:r>
      <w:r>
        <w:rPr>
          <w:rFonts w:eastAsia="Times New Roman"/>
          <w:color w:val="000000"/>
          <w:szCs w:val="2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member’s lot or unit’s mailing address or address otherwise specified in writing by the member and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 statement of any amount the association claims is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a description of how the homeowner may remedy the situation;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a date and time for the member’s hearing before the adjudicatory panel;</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information on the availability of nonbinding mediation through the department pursuant to Section 27</w:t>
      </w:r>
      <w:r>
        <w:rPr>
          <w:rFonts w:eastAsia="Times New Roman"/>
          <w:color w:val="000000"/>
          <w:szCs w:val="20"/>
        </w:rPr>
        <w:noBreakHyphen/>
        <w:t>52</w:t>
      </w:r>
      <w:r>
        <w:rPr>
          <w:rFonts w:eastAsia="Times New Roman"/>
          <w:color w:val="000000"/>
          <w:szCs w:val="20"/>
        </w:rPr>
        <w:noBreakHyphen/>
        <w:t>190;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provide the department’s current address, telephone numbers, and website address.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Before a homeowners’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member’s lot or unit’s mailing address or address otherwise specified in writing by the member and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specific alleged violation;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a date, time, and place for the member’s hearing before the homeowners’ association’s adjudicatory panel;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availability of nonbinding mediation through the department pursuant to Section 27</w:t>
      </w:r>
      <w:r>
        <w:rPr>
          <w:rFonts w:eastAsia="Times New Roman"/>
          <w:color w:val="000000"/>
          <w:szCs w:val="20"/>
        </w:rPr>
        <w:noBreakHyphen/>
        <w:t>52</w:t>
      </w:r>
      <w:r>
        <w:rPr>
          <w:rFonts w:eastAsia="Times New Roman"/>
          <w:color w:val="000000"/>
          <w:szCs w:val="20"/>
        </w:rPr>
        <w:noBreakHyphen/>
        <w:t>190;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the department’s current address, telephone numbers, and website address.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If the adjudicatory panel of the homeowners’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190.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A member may seek nonbinding mediation through the department for disputes involving the association’s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 xml:space="preserve">For an action instituted by a member, notice of the dispute must be given to the board of directors of the association at least fourteen days prior to the member submitting a request for mediation to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If the member submits a request for mediation as a result of receiving a notice required by Sections 27</w:t>
      </w:r>
      <w:r>
        <w:rPr>
          <w:rFonts w:eastAsia="Times New Roman"/>
          <w:color w:val="000000"/>
          <w:szCs w:val="20"/>
        </w:rPr>
        <w:noBreakHyphen/>
        <w:t>52</w:t>
      </w:r>
      <w:r>
        <w:rPr>
          <w:rFonts w:eastAsia="Times New Roman"/>
          <w:color w:val="000000"/>
          <w:szCs w:val="20"/>
        </w:rPr>
        <w:noBreakHyphen/>
        <w:t>180(A) or 27</w:t>
      </w:r>
      <w:r>
        <w:rPr>
          <w:rFonts w:eastAsia="Times New Roman"/>
          <w:color w:val="000000"/>
          <w:szCs w:val="20"/>
        </w:rPr>
        <w:noBreakHyphen/>
        <w:t>52</w:t>
      </w:r>
      <w:r>
        <w:rPr>
          <w:rFonts w:eastAsia="Times New Roman"/>
          <w:color w:val="000000"/>
          <w:szCs w:val="20"/>
        </w:rPr>
        <w:noBreakHyphen/>
        <w:t>180(B), the member, within thirty days of the adjudicatory panel hearing, must submit a request for mediation to the department and copy the association on the request.  If the member chooses not to be heard by the association’s adjudicatory panel, the member must, within thirty days of receiving the notice, submit a request for mediation to the department and copy the association on the request.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Upon receiving the notice of the request for mediation, the homeowners’ association may not take any adverse action against the member until after the mediation occurs.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200.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A member must give all prospective buyers a written disclosure indicating that the lot or unit being sold is in a community under the control and jurisdiction of a homeowners’ association.  The disclosure must include the most current telephone number and address of the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Within ten days after receipt of a written notice of a pending sale, and before the sale of the lot or unit, the member shall mail or deliver to a potential purchaser a packet containing 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copy of the bylaws and the rules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copy of the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b/>
          <w:bCs/>
          <w:color w:val="000000"/>
          <w:szCs w:val="20"/>
        </w:rPr>
        <w:tab/>
      </w:r>
      <w:r>
        <w:rPr>
          <w:rFonts w:eastAsia="Times New Roman"/>
          <w:color w:val="000000"/>
          <w:szCs w:val="20"/>
        </w:rPr>
        <w:t>(3)</w:t>
      </w:r>
      <w:r>
        <w:rPr>
          <w:rFonts w:eastAsia="Times New Roman"/>
          <w:color w:val="000000"/>
          <w:szCs w:val="20"/>
        </w:rPr>
        <w:tab/>
        <w:t>dated statement containing: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(a)</w:t>
      </w:r>
      <w:r>
        <w:rPr>
          <w:rFonts w:eastAsia="Times New Roman"/>
          <w:color w:val="000000"/>
          <w:szCs w:val="20"/>
        </w:rPr>
        <w:tab/>
        <w:t>the telephone number and address of a principal contact for the association, which may be an association manager, an association management company, an officer of the association, or another person designated by the board of directors;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(b)</w:t>
      </w:r>
      <w:r>
        <w:rPr>
          <w:rFonts w:eastAsia="Times New Roman"/>
          <w:color w:val="000000"/>
          <w:szCs w:val="20"/>
        </w:rPr>
        <w:tab/>
        <w:t>the amount of the common regular assessment and the unpaid common regular assessment, special assessment or other assessment, fee, or charge currently due and payable from the selling member;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b/>
          <w:bCs/>
          <w:color w:val="000000"/>
          <w:szCs w:val="20"/>
        </w:rPr>
        <w:tab/>
      </w:r>
      <w:r>
        <w:rPr>
          <w:rFonts w:eastAsia="Times New Roman"/>
          <w:b/>
          <w:bCs/>
          <w:color w:val="000000"/>
          <w:szCs w:val="20"/>
        </w:rPr>
        <w:tab/>
      </w:r>
      <w:r>
        <w:rPr>
          <w:rFonts w:eastAsia="Times New Roman"/>
          <w:color w:val="000000"/>
          <w:szCs w:val="20"/>
        </w:rPr>
        <w:t>(c)</w:t>
      </w:r>
      <w:r>
        <w:rPr>
          <w:rFonts w:eastAsia="Times New Roman"/>
          <w:color w:val="000000"/>
          <w:szCs w:val="20"/>
        </w:rPr>
        <w:tab/>
        <w:t>a statement as to whether a portion of the lot or unit is covered by insurance maintained by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(d)</w:t>
      </w:r>
      <w:r>
        <w:rPr>
          <w:rFonts w:eastAsia="Times New Roman"/>
          <w:color w:val="000000"/>
          <w:szCs w:val="20"/>
        </w:rPr>
        <w:tab/>
        <w:t>the total amount of money held by the association as reserves;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(e)</w:t>
      </w:r>
      <w:r>
        <w:rPr>
          <w:rFonts w:eastAsia="Times New Roman"/>
          <w:color w:val="000000"/>
          <w:szCs w:val="20"/>
        </w:rPr>
        <w:tab/>
        <w:t>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at the time of purchase and that are not reflected in the association’s records;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(f)</w:t>
      </w:r>
      <w:r>
        <w:rPr>
          <w:rFonts w:eastAsia="Times New Roman"/>
          <w:color w:val="000000"/>
          <w:szCs w:val="20"/>
        </w:rPr>
        <w:tab/>
        <w:t>statement regarding whether the member has knowledge of an alteration or improvement to the lot or unit that violates the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(g)</w:t>
      </w:r>
      <w:r>
        <w:rPr>
          <w:rFonts w:eastAsia="Times New Roman"/>
          <w:color w:val="000000"/>
          <w:szCs w:val="20"/>
        </w:rPr>
        <w:tab/>
        <w:t>statement by the member and the association containing case names and case numbers for pending litigation with respect to the lot or unit filed by the association against the member or filed by the member against the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(h)</w:t>
      </w:r>
      <w:r>
        <w:rPr>
          <w:rFonts w:eastAsia="Times New Roman"/>
          <w:color w:val="000000"/>
          <w:szCs w:val="20"/>
        </w:rPr>
        <w:tab/>
        <w:t>statement that provides ‘I hereby acknowledge that the declaration, bylaws, and rules of the association constitute a contract between the association and me (the purchaser).  By signing this statement, I acknowledge that I have read and understand the homeowner’s association’s contract with me (the purchaser).  I also understand that as a matter of South Carolina law, if I fail to pay my homeowner’s association assessments, the homeowner’s association may foreclose on my property.’  The statement must be signed by the purchaser and forwarded to the association within fourteen days of the sale of the lot or unit;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a copy of the current operating budget of the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a copy of the most recent annual financial report of the association.  If the report is more than ten pages in length, the association may provide a summary of the report in lieu of the entire report.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color w:val="000000"/>
          <w:szCs w:val="20"/>
        </w:rPr>
      </w:pPr>
      <w:r>
        <w:rPr>
          <w:rFonts w:eastAsia="Times New Roman"/>
          <w:b/>
          <w:bCs/>
          <w:color w:val="000000"/>
          <w:szCs w:val="20"/>
        </w:rPr>
        <w:tab/>
      </w:r>
      <w:r>
        <w:rPr>
          <w:rFonts w:eastAsia="Times New Roman"/>
          <w:color w:val="000000"/>
          <w:szCs w:val="20"/>
        </w:rPr>
        <w:t>(C)</w:t>
      </w:r>
      <w:r>
        <w:rPr>
          <w:rFonts w:eastAsia="Times New Roman"/>
          <w:color w:val="000000"/>
          <w:szCs w:val="2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rFonts w:eastAsia="Times New Roman"/>
          <w:b/>
          <w:bCs/>
          <w:color w:val="000000"/>
          <w:szCs w:val="20"/>
        </w:rPr>
        <w:t xml:space="preserve">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color w:val="000000"/>
          <w:szCs w:val="20"/>
        </w:rPr>
        <w:t>(D)</w:t>
      </w:r>
      <w:r>
        <w:rPr>
          <w:rFonts w:eastAsia="Times New Roman"/>
          <w:color w:val="000000"/>
          <w:szCs w:val="2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attorney’s fees.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The association may charge the member a reasonable fee to compensate the association for the costs incurred in the preparation of statements furnished by the association pursuant to this section.  The association shall make available to any interested party the amount of the pre</w:t>
      </w:r>
      <w:r>
        <w:rPr>
          <w:rFonts w:eastAsia="Times New Roman"/>
          <w:color w:val="000000"/>
          <w:szCs w:val="20"/>
        </w:rPr>
        <w:noBreakHyphen/>
        <w:t>sale disclosure fee.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(F)</w:t>
      </w:r>
      <w:r>
        <w:rPr>
          <w:rFonts w:eastAsia="Times New Roman"/>
          <w:color w:val="000000"/>
          <w:szCs w:val="20"/>
        </w:rPr>
        <w:tab/>
        <w:t>For purposes of this section, unless the context otherwise requires, ‘member’ means the seller of the lot or unit title and excludes any South Carolina licensed real estate salesperson or real estate broker who is acting as a salesperson or broker and also excludes a trustee of a deed of trust who is selling the property in a trustee’s sale.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210.</w:t>
      </w:r>
      <w:r>
        <w:rPr>
          <w:rFonts w:eastAsia="Times New Roman"/>
          <w:color w:val="000000"/>
          <w:szCs w:val="20"/>
        </w:rPr>
        <w:tab/>
      </w:r>
      <w:r>
        <w:rPr>
          <w:rFonts w:eastAsia="Times New Roman"/>
          <w:color w:val="000000"/>
          <w:szCs w:val="20"/>
        </w:rPr>
        <w:tab/>
        <w:t>A homeowners’ association owes to its members a duty of utmost care, honesty, and loyalty, including the duty of due diligence when handling matters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220.</w:t>
      </w:r>
      <w:r>
        <w:rPr>
          <w:rFonts w:eastAsia="Times New Roman"/>
          <w:color w:val="000000"/>
          <w:szCs w:val="20"/>
        </w:rPr>
        <w:tab/>
      </w:r>
      <w:r>
        <w:rPr>
          <w:rFonts w:eastAsia="Times New Roman"/>
          <w:color w:val="000000"/>
          <w:szCs w:val="20"/>
        </w:rPr>
        <w:tab/>
        <w:t>(A)</w:t>
      </w:r>
      <w:r>
        <w:rPr>
          <w:rFonts w:eastAsia="Times New Roman"/>
          <w:color w:val="000000"/>
          <w:szCs w:val="20"/>
        </w:rPr>
        <w:tab/>
        <w:t>The department may enforce the provisions of this chapter and investigate a suspected violation.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department’s investigation may require a registered person, unregistered person, or an applicant to:</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respond to questions concerning activities regulated under this chapter;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provide relevant records.  The records must be made available to the department within three business days of a request unless the department grants an extension.  The department may inspect records on</w:t>
      </w:r>
      <w:r>
        <w:rPr>
          <w:rFonts w:eastAsia="Times New Roman"/>
          <w:color w:val="000000"/>
          <w:szCs w:val="20"/>
        </w:rPr>
        <w:noBreakHyphen/>
        <w:t xml:space="preserve">site.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 xml:space="preserve">If the association fails to appeal the cease and desist order of the department and continues to engage in the action in violation of the department’s order, the association is subject to a penalty of not less than one thousand nor more than two thousand five hundred dollars, in the discretion of the department, for each action the association takes in violation of the department’s order. The penalty provision of this section is in addition to and not instead of other provisions of law applicable to an association’s failure to comply with an order of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230.</w:t>
      </w:r>
      <w:r>
        <w:rPr>
          <w:rFonts w:eastAsia="Times New Roman"/>
          <w:color w:val="000000"/>
          <w:szCs w:val="20"/>
        </w:rPr>
        <w:tab/>
      </w:r>
      <w:r>
        <w:rPr>
          <w:rFonts w:eastAsia="Times New Roman"/>
          <w:color w:val="000000"/>
          <w:szCs w:val="20"/>
        </w:rPr>
        <w:tab/>
        <w:t>(A)</w:t>
      </w:r>
      <w:r>
        <w:rPr>
          <w:rFonts w:eastAsia="Times New Roman"/>
          <w:color w:val="000000"/>
          <w:szCs w:val="20"/>
        </w:rPr>
        <w:tab/>
        <w:t>A person who has exhausted all administrative remedies available with the department and who is aggrieved by the department’s determination is entitled to a contested case hearing before the Administrative Law Court as provided in Section 1</w:t>
      </w:r>
      <w:r>
        <w:rPr>
          <w:rFonts w:eastAsia="Times New Roman"/>
          <w:color w:val="000000"/>
          <w:szCs w:val="20"/>
        </w:rPr>
        <w:noBreakHyphen/>
        <w:t>23</w:t>
      </w:r>
      <w:r>
        <w:rPr>
          <w:rFonts w:eastAsia="Times New Roman"/>
          <w:color w:val="000000"/>
          <w:szCs w:val="20"/>
        </w:rPr>
        <w:noBreakHyphen/>
        <w:t>600(D) and judicial review as provided in Sections 1</w:t>
      </w:r>
      <w:r>
        <w:rPr>
          <w:rFonts w:eastAsia="Times New Roman"/>
          <w:color w:val="000000"/>
          <w:szCs w:val="20"/>
        </w:rPr>
        <w:noBreakHyphen/>
        <w:t>23</w:t>
      </w:r>
      <w:r>
        <w:rPr>
          <w:rFonts w:eastAsia="Times New Roman"/>
          <w:color w:val="000000"/>
          <w:szCs w:val="20"/>
        </w:rPr>
        <w:noBreakHyphen/>
        <w:t>380(B) and 1</w:t>
      </w:r>
      <w:r>
        <w:rPr>
          <w:rFonts w:eastAsia="Times New Roman"/>
          <w:color w:val="000000"/>
          <w:szCs w:val="20"/>
        </w:rPr>
        <w:noBreakHyphen/>
        <w:t>23</w:t>
      </w:r>
      <w:r>
        <w:rPr>
          <w:rFonts w:eastAsia="Times New Roman"/>
          <w:color w:val="000000"/>
          <w:szCs w:val="20"/>
        </w:rPr>
        <w:noBreakHyphen/>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Pr>
          <w:rFonts w:eastAsia="Times New Roman"/>
          <w:color w:val="000000"/>
          <w:szCs w:val="20"/>
        </w:rPr>
        <w:noBreakHyphen/>
        <w:t>23</w:t>
      </w:r>
      <w:r>
        <w:rPr>
          <w:rFonts w:eastAsia="Times New Roman"/>
          <w:color w:val="000000"/>
          <w:szCs w:val="20"/>
        </w:rPr>
        <w:noBreakHyphen/>
        <w:t>380 and 1</w:t>
      </w:r>
      <w:r>
        <w:rPr>
          <w:rFonts w:eastAsia="Times New Roman"/>
          <w:color w:val="000000"/>
          <w:szCs w:val="20"/>
        </w:rPr>
        <w:noBreakHyphen/>
        <w:t>23</w:t>
      </w:r>
      <w:r>
        <w:rPr>
          <w:rFonts w:eastAsia="Times New Roman"/>
          <w:color w:val="000000"/>
          <w:szCs w:val="20"/>
        </w:rPr>
        <w:noBreakHyphen/>
        <w:t xml:space="preserve">610.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240.</w:t>
      </w:r>
      <w:r>
        <w:rPr>
          <w:rFonts w:eastAsia="Times New Roman"/>
          <w:color w:val="000000"/>
          <w:szCs w:val="20"/>
        </w:rPr>
        <w:tab/>
      </w:r>
      <w:r>
        <w:rPr>
          <w:rFonts w:eastAsia="Times New Roman"/>
          <w:color w:val="000000"/>
          <w:szCs w:val="20"/>
        </w:rPr>
        <w:tab/>
        <w:t xml:space="preserve">The department may promulgate regulations necessary to effectuate the purposes of this chapter.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250.</w:t>
      </w:r>
      <w:r>
        <w:rPr>
          <w:rFonts w:eastAsia="Times New Roman"/>
          <w:color w:val="000000"/>
          <w:szCs w:val="20"/>
        </w:rPr>
        <w:tab/>
      </w:r>
      <w:r>
        <w:rPr>
          <w:rFonts w:eastAsia="Times New Roman"/>
          <w:color w:val="000000"/>
          <w:szCs w:val="20"/>
        </w:rPr>
        <w:tab/>
        <w:t xml:space="preserve">A fee collected by the department must be retained by it.”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3.</w:t>
      </w:r>
      <w:r>
        <w:rPr>
          <w:rFonts w:eastAsia="Times New Roman"/>
          <w:color w:val="000000"/>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szCs w:val="20"/>
        </w:rPr>
        <w:t>SECTION</w:t>
      </w:r>
      <w:r>
        <w:rPr>
          <w:rFonts w:eastAsia="Times New Roman"/>
          <w:color w:val="000000"/>
          <w:szCs w:val="20"/>
        </w:rPr>
        <w:tab/>
        <w:t>4.</w:t>
      </w:r>
      <w:r>
        <w:rPr>
          <w:rFonts w:eastAsia="Times New Roman"/>
          <w:color w:val="000000"/>
          <w:szCs w:val="20"/>
        </w:rPr>
        <w:tab/>
        <w:t>This act takes effect January 1, 20</w:t>
      </w:r>
      <w:r w:rsidR="00F373C8">
        <w:rPr>
          <w:rFonts w:eastAsia="Times New Roman"/>
          <w:color w:val="000000"/>
          <w:szCs w:val="20"/>
        </w:rPr>
        <w:t>12</w:t>
      </w:r>
      <w:r>
        <w:rPr>
          <w:rFonts w:eastAsia="Times New Roman"/>
          <w:szCs w:val="20"/>
        </w:rPr>
        <w:t>.</w:t>
      </w:r>
    </w:p>
    <w:p w:rsidR="004013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386" w:rsidRDefault="00401386" w:rsidP="00C054CA">
      <w:pPr>
        <w:suppressAutoHyphens/>
        <w:jc w:val="both"/>
        <w:rPr>
          <w:rFonts w:eastAsia="Times New Roman"/>
        </w:rPr>
      </w:pPr>
    </w:p>
    <w:sectPr w:rsidR="00401386" w:rsidSect="00C054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6ED" w:rsidRDefault="008D26ED" w:rsidP="00522CE0">
      <w:r>
        <w:separator/>
      </w:r>
    </w:p>
  </w:endnote>
  <w:endnote w:type="continuationSeparator" w:id="0">
    <w:p w:rsidR="008D26ED" w:rsidRDefault="008D26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638AF8-A100-4118-9A9B-0CDF9680B449}"/>
    <w:embedBold r:id="rId2" w:fontKey="{87364D19-28AA-4837-A2CE-A7CF7EDFF4E6}"/>
  </w:font>
  <w:font w:name="Calibri">
    <w:panose1 w:val="020F0502020204030204"/>
    <w:charset w:val="00"/>
    <w:family w:val="swiss"/>
    <w:pitch w:val="variable"/>
    <w:sig w:usb0="E10002FF" w:usb1="4000ACFF" w:usb2="00000009" w:usb3="00000000" w:csb0="0000019F" w:csb1="00000000"/>
    <w:embedRegular r:id="rId3" w:fontKey="{D37BDA20-A170-4C2C-898F-FB2AAEC53E03}"/>
    <w:embedBold r:id="rId4" w:fontKey="{BF897FB8-91B0-4859-BA1B-4519D63E066A}"/>
  </w:font>
  <w:font w:name="Cambria">
    <w:panose1 w:val="02040503050406030204"/>
    <w:charset w:val="00"/>
    <w:family w:val="roman"/>
    <w:pitch w:val="variable"/>
    <w:sig w:usb0="E00002FF" w:usb1="400004FF" w:usb2="00000000" w:usb3="00000000" w:csb0="0000019F" w:csb1="00000000"/>
    <w:embedRegular r:id="rId5" w:fontKey="{B61F57FD-81B9-4266-A39E-303E390FD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CA" w:rsidRPr="00401386" w:rsidRDefault="00C054CA" w:rsidP="00401386">
    <w:pPr>
      <w:pStyle w:val="Footer"/>
      <w:tabs>
        <w:tab w:val="clear" w:pos="4680"/>
        <w:tab w:val="clear" w:pos="9360"/>
        <w:tab w:val="center" w:pos="2995"/>
      </w:tabs>
      <w:spacing w:before="120"/>
    </w:pPr>
    <w:r>
      <w:t>[218]</w:t>
    </w:r>
    <w:r>
      <w:tab/>
    </w:r>
    <w:r w:rsidR="00A42D68">
      <w:fldChar w:fldCharType="begin"/>
    </w:r>
    <w:r w:rsidR="00A42D68">
      <w:instrText xml:space="preserve"> PAGE  \* MERGEFORMAT </w:instrText>
    </w:r>
    <w:r w:rsidR="00A42D68">
      <w:fldChar w:fldCharType="separate"/>
    </w:r>
    <w:r w:rsidR="00A42D68">
      <w:rPr>
        <w:noProof/>
      </w:rPr>
      <w:t>1</w:t>
    </w:r>
    <w:r w:rsidR="00A42D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6ED" w:rsidRDefault="008D26ED" w:rsidP="00522CE0">
      <w:r>
        <w:separator/>
      </w:r>
    </w:p>
  </w:footnote>
  <w:footnote w:type="continuationSeparator" w:id="0">
    <w:p w:rsidR="008D26ED" w:rsidRDefault="008D26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HOME.KMM.DJ"/>
    <w:docVar w:name="CoverAttorneyInitials" w:val="KMM"/>
    <w:docVar w:name="CoverAttorneyLastName" w:val="Moffitt"/>
    <w:docVar w:name="CoverBillType" w:val="b"/>
    <w:docVar w:name="CoverSenator" w:val="DJ"/>
    <w:docVar w:name="dvBillNumber" w:val="218"/>
    <w:docVar w:name="dvBillNumberPrefix" w:val="S. "/>
    <w:docVar w:name="dvOriginalBody" w:val="Senate"/>
    <w:docVar w:name="fulldraftpath" w:val="L:\S-RES\DJ\003HOME.KMM.DJ.DOCX"/>
    <w:docVar w:name="NameofBody" w:val="S"/>
    <w:docVar w:name="vgroup2" w:val="S-RES"/>
  </w:docVars>
  <w:rsids>
    <w:rsidRoot w:val="00133A14"/>
    <w:rsid w:val="00027826"/>
    <w:rsid w:val="00042AC1"/>
    <w:rsid w:val="00046516"/>
    <w:rsid w:val="0007601D"/>
    <w:rsid w:val="000B0720"/>
    <w:rsid w:val="000B5EAF"/>
    <w:rsid w:val="00102A6B"/>
    <w:rsid w:val="00133A14"/>
    <w:rsid w:val="00170561"/>
    <w:rsid w:val="00186AC9"/>
    <w:rsid w:val="00197DF1"/>
    <w:rsid w:val="001B3DD9"/>
    <w:rsid w:val="001B7E5D"/>
    <w:rsid w:val="001D3BAC"/>
    <w:rsid w:val="00235CF1"/>
    <w:rsid w:val="00245C4E"/>
    <w:rsid w:val="002808EF"/>
    <w:rsid w:val="002921B2"/>
    <w:rsid w:val="002B31A4"/>
    <w:rsid w:val="002C1321"/>
    <w:rsid w:val="002C5896"/>
    <w:rsid w:val="002D3BED"/>
    <w:rsid w:val="00307C2B"/>
    <w:rsid w:val="00383247"/>
    <w:rsid w:val="003C08EC"/>
    <w:rsid w:val="003D6E2B"/>
    <w:rsid w:val="003E7597"/>
    <w:rsid w:val="00401386"/>
    <w:rsid w:val="00443130"/>
    <w:rsid w:val="00450668"/>
    <w:rsid w:val="00486443"/>
    <w:rsid w:val="004952FA"/>
    <w:rsid w:val="004B6A22"/>
    <w:rsid w:val="004D7F37"/>
    <w:rsid w:val="004F158C"/>
    <w:rsid w:val="00522CE0"/>
    <w:rsid w:val="00551FC8"/>
    <w:rsid w:val="00557D94"/>
    <w:rsid w:val="00565148"/>
    <w:rsid w:val="00567088"/>
    <w:rsid w:val="005717E9"/>
    <w:rsid w:val="00593361"/>
    <w:rsid w:val="005A5017"/>
    <w:rsid w:val="005A648C"/>
    <w:rsid w:val="005F1745"/>
    <w:rsid w:val="005F1ED5"/>
    <w:rsid w:val="005F36EF"/>
    <w:rsid w:val="006C74EA"/>
    <w:rsid w:val="00720D40"/>
    <w:rsid w:val="007318D4"/>
    <w:rsid w:val="00740477"/>
    <w:rsid w:val="00765784"/>
    <w:rsid w:val="007877E6"/>
    <w:rsid w:val="007A4390"/>
    <w:rsid w:val="007B1907"/>
    <w:rsid w:val="007E5CB7"/>
    <w:rsid w:val="008314D2"/>
    <w:rsid w:val="008A1FB9"/>
    <w:rsid w:val="008B2F42"/>
    <w:rsid w:val="008D26ED"/>
    <w:rsid w:val="008E185F"/>
    <w:rsid w:val="008F023B"/>
    <w:rsid w:val="00904E16"/>
    <w:rsid w:val="009162B3"/>
    <w:rsid w:val="00927C62"/>
    <w:rsid w:val="00983951"/>
    <w:rsid w:val="00984124"/>
    <w:rsid w:val="00984640"/>
    <w:rsid w:val="00995C37"/>
    <w:rsid w:val="009C118A"/>
    <w:rsid w:val="009C496A"/>
    <w:rsid w:val="009D06DD"/>
    <w:rsid w:val="009D28BE"/>
    <w:rsid w:val="009F65F1"/>
    <w:rsid w:val="00A02011"/>
    <w:rsid w:val="00A4011E"/>
    <w:rsid w:val="00A42D68"/>
    <w:rsid w:val="00A86015"/>
    <w:rsid w:val="00A9594E"/>
    <w:rsid w:val="00AE59C8"/>
    <w:rsid w:val="00B10098"/>
    <w:rsid w:val="00B5790D"/>
    <w:rsid w:val="00B945C5"/>
    <w:rsid w:val="00BA20EA"/>
    <w:rsid w:val="00BB5AFC"/>
    <w:rsid w:val="00BC0A56"/>
    <w:rsid w:val="00C054CA"/>
    <w:rsid w:val="00C45366"/>
    <w:rsid w:val="00C57023"/>
    <w:rsid w:val="00C74052"/>
    <w:rsid w:val="00CB187A"/>
    <w:rsid w:val="00CC0EC7"/>
    <w:rsid w:val="00CE4800"/>
    <w:rsid w:val="00D1088B"/>
    <w:rsid w:val="00D156D2"/>
    <w:rsid w:val="00D86943"/>
    <w:rsid w:val="00DA47B9"/>
    <w:rsid w:val="00E058D3"/>
    <w:rsid w:val="00E10EFB"/>
    <w:rsid w:val="00E76AD9"/>
    <w:rsid w:val="00E91E2F"/>
    <w:rsid w:val="00EA3546"/>
    <w:rsid w:val="00EB2062"/>
    <w:rsid w:val="00EB47AE"/>
    <w:rsid w:val="00EC34E1"/>
    <w:rsid w:val="00F0234A"/>
    <w:rsid w:val="00F131CC"/>
    <w:rsid w:val="00F373C8"/>
    <w:rsid w:val="00F52959"/>
    <w:rsid w:val="00F55884"/>
    <w:rsid w:val="00F57664"/>
    <w:rsid w:val="00FA18B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078B75CE-C881-41E8-B5A2-7C2F48C1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054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8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4365</Words>
  <Characters>22937</Characters>
  <Application>Microsoft Office Word</Application>
  <DocSecurity>4</DocSecurity>
  <Lines>541</Lines>
  <Paragraphs>134</Paragraphs>
  <ScaleCrop>false</ScaleCrop>
  <Company> </Company>
  <LinksUpToDate>false</LinksUpToDate>
  <CharactersWithSpaces>27412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218: S.C. Homeowners Association Act - South Carolina Legislature Online</dc:title>
  <dc:subject/>
  <dc:creator>BonnieHuth</dc:creator>
  <cp:keywords/>
  <dc:description/>
  <cp:lastModifiedBy>N Cumfer</cp:lastModifiedBy>
  <cp:revision>2</cp:revision>
  <dcterms:created xsi:type="dcterms:W3CDTF">2014-11-21T20:31:00Z</dcterms:created>
  <dcterms:modified xsi:type="dcterms:W3CDTF">2014-11-21T20:31:00Z</dcterms:modified>
</cp:coreProperties>
</file>