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15B" w:rsidRDefault="000E015B" w:rsidP="000E015B">
      <w:pPr>
        <w:widowControl w:val="0"/>
        <w:jc w:val="center"/>
      </w:pPr>
      <w:bookmarkStart w:id="0" w:name="_GoBack"/>
      <w:bookmarkEnd w:id="0"/>
      <w:r w:rsidRPr="000E015B">
        <w:rPr>
          <w:b/>
        </w:rPr>
        <w:t>South Carolina General Assembly</w:t>
      </w:r>
    </w:p>
    <w:p w:rsidR="000E015B" w:rsidRDefault="000E015B" w:rsidP="000E015B">
      <w:pPr>
        <w:widowControl w:val="0"/>
        <w:jc w:val="center"/>
      </w:pPr>
      <w:r>
        <w:t>119th Session, 2011-2012</w:t>
      </w:r>
    </w:p>
    <w:p w:rsidR="000E015B" w:rsidRDefault="000E015B" w:rsidP="000E015B">
      <w:pPr>
        <w:widowControl w:val="0"/>
      </w:pPr>
    </w:p>
    <w:p w:rsidR="000E015B" w:rsidRDefault="000E015B" w:rsidP="000E015B">
      <w:pPr>
        <w:widowControl w:val="0"/>
        <w:rPr>
          <w:b/>
        </w:rPr>
      </w:pPr>
      <w:r w:rsidRPr="000E015B">
        <w:rPr>
          <w:b/>
        </w:rPr>
        <w:t>S.</w:t>
      </w:r>
      <w:r>
        <w:rPr>
          <w:b/>
        </w:rPr>
        <w:t xml:space="preserve"> </w:t>
      </w:r>
      <w:r w:rsidRPr="000E015B">
        <w:rPr>
          <w:b/>
        </w:rPr>
        <w:t>233</w:t>
      </w:r>
    </w:p>
    <w:p w:rsidR="000E015B" w:rsidRDefault="000E015B" w:rsidP="000E015B">
      <w:pPr>
        <w:widowControl w:val="0"/>
        <w:rPr>
          <w:b/>
        </w:rPr>
      </w:pPr>
    </w:p>
    <w:p w:rsidR="000E015B" w:rsidRDefault="000E015B" w:rsidP="000E015B">
      <w:pPr>
        <w:widowControl w:val="0"/>
      </w:pPr>
      <w:r w:rsidRPr="000E015B">
        <w:rPr>
          <w:b/>
        </w:rPr>
        <w:t>STATUS INFORMATION</w:t>
      </w:r>
    </w:p>
    <w:p w:rsidR="000E015B" w:rsidRDefault="000E015B" w:rsidP="000E015B">
      <w:pPr>
        <w:widowControl w:val="0"/>
      </w:pPr>
    </w:p>
    <w:p w:rsidR="000E015B" w:rsidRDefault="000E015B" w:rsidP="000E015B">
      <w:pPr>
        <w:widowControl w:val="0"/>
      </w:pPr>
      <w:r>
        <w:t>General Bill</w:t>
      </w:r>
    </w:p>
    <w:p w:rsidR="000E015B" w:rsidRDefault="000E015B" w:rsidP="000E015B">
      <w:pPr>
        <w:widowControl w:val="0"/>
      </w:pPr>
      <w:r>
        <w:t>Sponsors: Senator Cleary</w:t>
      </w:r>
    </w:p>
    <w:p w:rsidR="000E015B" w:rsidRDefault="000E015B" w:rsidP="000E015B">
      <w:pPr>
        <w:widowControl w:val="0"/>
      </w:pPr>
      <w:r>
        <w:t>Document Path: l:\s-res\rec\004bene.ebd.rec.docx</w:t>
      </w:r>
    </w:p>
    <w:p w:rsidR="000E015B" w:rsidRDefault="000E015B" w:rsidP="000E015B">
      <w:pPr>
        <w:widowControl w:val="0"/>
      </w:pPr>
    </w:p>
    <w:p w:rsidR="00A156E7" w:rsidRDefault="00A156E7" w:rsidP="000E015B">
      <w:pPr>
        <w:widowControl w:val="0"/>
      </w:pPr>
      <w:r>
        <w:t>Introduced in the Senate on January 11, 2011</w:t>
      </w:r>
    </w:p>
    <w:p w:rsidR="00A156E7" w:rsidRPr="00A156E7" w:rsidRDefault="00A156E7" w:rsidP="000E015B">
      <w:pPr>
        <w:widowControl w:val="0"/>
      </w:pPr>
      <w:r>
        <w:t xml:space="preserve">Currently residing in the Senate Committee on </w:t>
      </w:r>
      <w:r w:rsidRPr="00A156E7">
        <w:rPr>
          <w:b/>
        </w:rPr>
        <w:t>Banking and Insurance</w:t>
      </w:r>
    </w:p>
    <w:p w:rsidR="00A156E7" w:rsidRDefault="00A156E7" w:rsidP="000E015B">
      <w:pPr>
        <w:widowControl w:val="0"/>
      </w:pPr>
    </w:p>
    <w:p w:rsidR="000E015B" w:rsidRDefault="000E015B" w:rsidP="000E015B">
      <w:pPr>
        <w:widowControl w:val="0"/>
      </w:pPr>
      <w:r>
        <w:t xml:space="preserve">Summary: </w:t>
      </w:r>
      <w:r w:rsidR="00167F3C">
        <w:t>Accident and health policy forms</w:t>
      </w:r>
    </w:p>
    <w:p w:rsidR="000E015B" w:rsidRDefault="000E015B" w:rsidP="000E015B">
      <w:pPr>
        <w:widowControl w:val="0"/>
      </w:pPr>
    </w:p>
    <w:p w:rsidR="000E015B" w:rsidRDefault="000E015B" w:rsidP="000E015B">
      <w:pPr>
        <w:widowControl w:val="0"/>
      </w:pPr>
    </w:p>
    <w:p w:rsidR="000E015B" w:rsidRDefault="000E015B" w:rsidP="000E015B">
      <w:pPr>
        <w:widowControl w:val="0"/>
        <w:tabs>
          <w:tab w:val="center" w:pos="590"/>
          <w:tab w:val="center" w:pos="1440"/>
          <w:tab w:val="left" w:pos="1872"/>
          <w:tab w:val="left" w:pos="9187"/>
        </w:tabs>
      </w:pPr>
      <w:r w:rsidRPr="000E015B">
        <w:rPr>
          <w:b/>
        </w:rPr>
        <w:t>HISTORY OF LEGISLATIVE ACTIONS</w:t>
      </w:r>
    </w:p>
    <w:p w:rsidR="000E015B" w:rsidRDefault="000E015B" w:rsidP="000E015B">
      <w:pPr>
        <w:widowControl w:val="0"/>
        <w:tabs>
          <w:tab w:val="center" w:pos="590"/>
          <w:tab w:val="center" w:pos="1440"/>
          <w:tab w:val="left" w:pos="1872"/>
          <w:tab w:val="left" w:pos="9187"/>
        </w:tabs>
      </w:pPr>
    </w:p>
    <w:p w:rsidR="000E015B" w:rsidRPr="000E015B" w:rsidRDefault="000E015B" w:rsidP="000E015B">
      <w:pPr>
        <w:widowControl w:val="0"/>
        <w:tabs>
          <w:tab w:val="center" w:pos="590"/>
          <w:tab w:val="center" w:pos="1440"/>
          <w:tab w:val="left" w:pos="1872"/>
          <w:tab w:val="left" w:pos="9187"/>
        </w:tabs>
      </w:pPr>
      <w:r w:rsidRPr="000E015B">
        <w:rPr>
          <w:u w:val="single"/>
        </w:rPr>
        <w:tab/>
        <w:t>Date</w:t>
      </w:r>
      <w:r w:rsidRPr="000E015B">
        <w:rPr>
          <w:u w:val="single"/>
        </w:rPr>
        <w:tab/>
        <w:t>Body</w:t>
      </w:r>
      <w:r w:rsidRPr="000E015B">
        <w:rPr>
          <w:u w:val="single"/>
        </w:rPr>
        <w:tab/>
        <w:t>Action Description with journal page number</w:t>
      </w:r>
      <w:r w:rsidRPr="000E015B">
        <w:rPr>
          <w:u w:val="single"/>
        </w:rPr>
        <w:tab/>
      </w:r>
    </w:p>
    <w:p w:rsidR="002D7150" w:rsidRDefault="002D7150" w:rsidP="002D7150">
      <w:pPr>
        <w:widowControl w:val="0"/>
        <w:tabs>
          <w:tab w:val="right" w:pos="1008"/>
          <w:tab w:val="left" w:pos="1152"/>
          <w:tab w:val="left" w:pos="1872"/>
          <w:tab w:val="left" w:pos="9187"/>
        </w:tabs>
        <w:ind w:left="2088" w:hanging="2088"/>
      </w:pPr>
      <w:r>
        <w:tab/>
        <w:t>12/8/2010</w:t>
      </w:r>
      <w:r>
        <w:tab/>
        <w:t>Senate</w:t>
      </w:r>
      <w:r>
        <w:tab/>
      </w:r>
      <w:r w:rsidRPr="007435B8">
        <w:t>Prefiled</w:t>
      </w:r>
    </w:p>
    <w:p w:rsidR="002D7150" w:rsidRDefault="002D7150" w:rsidP="002D7150">
      <w:pPr>
        <w:widowControl w:val="0"/>
        <w:tabs>
          <w:tab w:val="right" w:pos="1008"/>
          <w:tab w:val="left" w:pos="1152"/>
          <w:tab w:val="left" w:pos="1872"/>
          <w:tab w:val="left" w:pos="9187"/>
        </w:tabs>
        <w:ind w:left="2088" w:hanging="2088"/>
      </w:pPr>
      <w:r>
        <w:tab/>
        <w:t>12/8/2010</w:t>
      </w:r>
      <w:r>
        <w:tab/>
        <w:t>Senate</w:t>
      </w:r>
      <w:r>
        <w:tab/>
      </w:r>
      <w:r w:rsidRPr="007435B8">
        <w:t xml:space="preserve">Referred to Committee on </w:t>
      </w:r>
      <w:r w:rsidRPr="007435B8">
        <w:rPr>
          <w:b/>
        </w:rPr>
        <w:t>Banking and Insurance</w:t>
      </w:r>
    </w:p>
    <w:p w:rsidR="002D7150" w:rsidRDefault="002D7150" w:rsidP="002D7150">
      <w:pPr>
        <w:widowControl w:val="0"/>
        <w:tabs>
          <w:tab w:val="right" w:pos="1008"/>
          <w:tab w:val="left" w:pos="1152"/>
          <w:tab w:val="left" w:pos="1872"/>
          <w:tab w:val="left" w:pos="9187"/>
        </w:tabs>
        <w:ind w:left="2088" w:hanging="2088"/>
      </w:pPr>
      <w:r>
        <w:tab/>
        <w:t>1/11/2011</w:t>
      </w:r>
      <w:r>
        <w:tab/>
        <w:t>Senate</w:t>
      </w:r>
      <w:r>
        <w:tab/>
      </w:r>
      <w:r w:rsidRPr="007435B8">
        <w:t>Introdu</w:t>
      </w:r>
      <w:r>
        <w:t>ced and read first time (</w:t>
      </w:r>
      <w:hyperlink r:id="rId6" w:history="1">
        <w:r w:rsidRPr="007435B8">
          <w:rPr>
            <w:rStyle w:val="Hyperlink"/>
          </w:rPr>
          <w:t>Senate Journal</w:t>
        </w:r>
        <w:r w:rsidRPr="007435B8">
          <w:rPr>
            <w:rStyle w:val="Hyperlink"/>
          </w:rPr>
          <w:noBreakHyphen/>
          <w:t>page 108</w:t>
        </w:r>
      </w:hyperlink>
      <w:r w:rsidRPr="007435B8">
        <w:t>)</w:t>
      </w:r>
    </w:p>
    <w:p w:rsidR="002D7150" w:rsidRDefault="002D7150" w:rsidP="002D7150">
      <w:pPr>
        <w:widowControl w:val="0"/>
        <w:tabs>
          <w:tab w:val="right" w:pos="1008"/>
          <w:tab w:val="left" w:pos="1152"/>
          <w:tab w:val="left" w:pos="1872"/>
          <w:tab w:val="left" w:pos="9187"/>
        </w:tabs>
        <w:ind w:left="2088" w:hanging="2088"/>
      </w:pPr>
      <w:r>
        <w:tab/>
        <w:t>1/11/2011</w:t>
      </w:r>
      <w:r>
        <w:tab/>
        <w:t>Senate</w:t>
      </w:r>
      <w:r>
        <w:tab/>
      </w:r>
      <w:r w:rsidRPr="007435B8">
        <w:t xml:space="preserve">Referred to Committee on </w:t>
      </w:r>
      <w:r w:rsidRPr="007435B8">
        <w:rPr>
          <w:b/>
        </w:rPr>
        <w:t>Banking and Insurance</w:t>
      </w:r>
      <w:r>
        <w:t xml:space="preserve"> </w:t>
      </w:r>
      <w:r w:rsidRPr="007435B8">
        <w:t>(</w:t>
      </w:r>
      <w:hyperlink r:id="rId7" w:history="1">
        <w:r w:rsidRPr="007435B8">
          <w:rPr>
            <w:rStyle w:val="Hyperlink"/>
          </w:rPr>
          <w:t>Senate Journal</w:t>
        </w:r>
        <w:r w:rsidRPr="007435B8">
          <w:rPr>
            <w:rStyle w:val="Hyperlink"/>
          </w:rPr>
          <w:noBreakHyphen/>
          <w:t>page 108</w:t>
        </w:r>
      </w:hyperlink>
      <w:r w:rsidRPr="007435B8">
        <w:t>)</w:t>
      </w:r>
    </w:p>
    <w:p w:rsidR="002D7150" w:rsidRDefault="002D7150" w:rsidP="002D7150">
      <w:pPr>
        <w:widowControl w:val="0"/>
        <w:tabs>
          <w:tab w:val="right" w:pos="1008"/>
          <w:tab w:val="left" w:pos="1152"/>
          <w:tab w:val="left" w:pos="1872"/>
          <w:tab w:val="left" w:pos="9187"/>
        </w:tabs>
        <w:ind w:left="2088" w:hanging="2088"/>
      </w:pPr>
    </w:p>
    <w:p w:rsidR="000E015B" w:rsidRPr="000E015B" w:rsidRDefault="000E015B" w:rsidP="000E015B">
      <w:pPr>
        <w:widowControl w:val="0"/>
        <w:tabs>
          <w:tab w:val="right" w:pos="1008"/>
          <w:tab w:val="left" w:pos="1152"/>
          <w:tab w:val="left" w:pos="1872"/>
          <w:tab w:val="left" w:pos="9187"/>
        </w:tabs>
        <w:ind w:left="2088" w:hanging="2088"/>
      </w:pPr>
    </w:p>
    <w:p w:rsidR="000E015B" w:rsidRDefault="000E015B" w:rsidP="000E015B">
      <w:pPr>
        <w:widowControl w:val="0"/>
      </w:pPr>
      <w:r w:rsidRPr="000E015B">
        <w:rPr>
          <w:b/>
        </w:rPr>
        <w:t>VERSIONS OF THIS BILL</w:t>
      </w:r>
    </w:p>
    <w:p w:rsidR="000E015B" w:rsidRDefault="000E015B" w:rsidP="000E015B">
      <w:pPr>
        <w:widowControl w:val="0"/>
      </w:pPr>
    </w:p>
    <w:p w:rsidR="000E015B" w:rsidRDefault="00B60A0F" w:rsidP="000E015B">
      <w:pPr>
        <w:widowControl w:val="0"/>
      </w:pPr>
      <w:hyperlink r:id="rId8" w:history="1">
        <w:r w:rsidR="000E015B">
          <w:rPr>
            <w:rStyle w:val="Hyperlink"/>
          </w:rPr>
          <w:t>12/8/2010</w:t>
        </w:r>
      </w:hyperlink>
    </w:p>
    <w:p w:rsidR="000E015B" w:rsidRDefault="000E015B" w:rsidP="000E015B"/>
    <w:p w:rsidR="000E015B" w:rsidRDefault="000E015B" w:rsidP="000E015B">
      <w:pPr>
        <w:sectPr w:rsidR="000E015B" w:rsidSect="000E015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54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1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w:t>
      </w:r>
      <w:r w:rsidR="00CE691A">
        <w:rPr>
          <w:rFonts w:eastAsia="Times New Roman"/>
        </w:rPr>
        <w:noBreakHyphen/>
      </w:r>
      <w:r>
        <w:rPr>
          <w:rFonts w:eastAsia="Times New Roman"/>
        </w:rPr>
        <w:t>71</w:t>
      </w:r>
      <w:r w:rsidR="00CE691A">
        <w:rPr>
          <w:rFonts w:eastAsia="Times New Roman"/>
        </w:rPr>
        <w:noBreakHyphen/>
      </w:r>
      <w:r>
        <w:rPr>
          <w:rFonts w:eastAsia="Times New Roman"/>
        </w:rPr>
        <w:t>340 OF THE 1976 CODE</w:t>
      </w:r>
      <w:r w:rsidR="00CE691A">
        <w:rPr>
          <w:rFonts w:eastAsia="Times New Roman"/>
        </w:rPr>
        <w:t xml:space="preserve">, </w:t>
      </w:r>
      <w:r>
        <w:rPr>
          <w:rFonts w:eastAsia="Times New Roman"/>
        </w:rPr>
        <w:t>RELATING TO REQUIRED PROVISIONS IN INDIVIDUAL ACCIDENT AND HEALTH POLICY FORMS, TO PROVIDE THAT POLICY FORMS SHALL CONTAIN A PROVISION STATING THE INSURER MAY PAY ALL OR A PORTION OF INDEMNITIES TO THE CARE PROVIDER UNLESS THE INSURED DIRECTS OTHERWISE IN WRITING.</w:t>
      </w:r>
    </w:p>
    <w:p w:rsidR="000F5481" w:rsidRDefault="000F5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A9F">
        <w:rPr>
          <w:color w:val="000000" w:themeColor="text1"/>
          <w:u w:color="000000" w:themeColor="text1"/>
        </w:rPr>
        <w:t>Be it enacted by the General Assembly of the State of South Carolina:</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91A" w:rsidRPr="00DA7A9F" w:rsidRDefault="004F682F"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CE691A" w:rsidRPr="00DA7A9F">
        <w:rPr>
          <w:color w:val="000000" w:themeColor="text1"/>
          <w:u w:color="000000" w:themeColor="text1"/>
        </w:rPr>
        <w:t>Section 38</w:t>
      </w:r>
      <w:r w:rsidR="00CE691A">
        <w:rPr>
          <w:color w:val="000000" w:themeColor="text1"/>
          <w:u w:color="000000" w:themeColor="text1"/>
        </w:rPr>
        <w:noBreakHyphen/>
      </w:r>
      <w:r w:rsidR="00CE691A" w:rsidRPr="00DA7A9F">
        <w:rPr>
          <w:color w:val="000000" w:themeColor="text1"/>
          <w:u w:color="000000" w:themeColor="text1"/>
        </w:rPr>
        <w:t>71</w:t>
      </w:r>
      <w:r w:rsidR="00CE691A">
        <w:rPr>
          <w:color w:val="000000" w:themeColor="text1"/>
          <w:u w:color="000000" w:themeColor="text1"/>
        </w:rPr>
        <w:noBreakHyphen/>
      </w:r>
      <w:r w:rsidR="00CE691A" w:rsidRPr="00DA7A9F">
        <w:rPr>
          <w:color w:val="000000" w:themeColor="text1"/>
          <w:u w:color="000000" w:themeColor="text1"/>
        </w:rPr>
        <w:t>340(9) of the 1976 Code is amended to read:</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91A"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A9F">
        <w:rPr>
          <w:color w:val="000000" w:themeColor="text1"/>
          <w:u w:color="000000" w:themeColor="text1"/>
        </w:rPr>
        <w:tab/>
        <w:t>“(9)</w:t>
      </w:r>
      <w:r w:rsidRPr="00DA7A9F">
        <w:rPr>
          <w:color w:val="000000" w:themeColor="text1"/>
          <w:u w:color="000000" w:themeColor="text1"/>
        </w:rPr>
        <w:tab/>
        <w:t>A provision as follows</w:t>
      </w:r>
      <w:r>
        <w:rPr>
          <w:color w:val="000000" w:themeColor="text1"/>
          <w:u w:color="000000" w:themeColor="text1"/>
        </w:rPr>
        <w:t>:</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7A9F">
        <w:rPr>
          <w:color w:val="000000" w:themeColor="text1"/>
          <w:u w:color="000000" w:themeColor="text1"/>
        </w:rPr>
        <w:t>PAYMENT OF CLAIMS:</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7A9F">
        <w:rPr>
          <w:color w:val="000000" w:themeColor="text1"/>
          <w:u w:color="000000" w:themeColor="text1"/>
        </w:rPr>
        <w:t>Benefits will be paid to the insured.  Loss of life benefits are payable in accordance with the beneficiary designation in effect at the time of payment.  If none is then in effect, the benefits will be paid to the insured</w:t>
      </w:r>
      <w:r w:rsidRPr="00CE691A">
        <w:rPr>
          <w:color w:val="000000" w:themeColor="text1"/>
          <w:u w:color="000000" w:themeColor="text1"/>
        </w:rPr>
        <w:t>’</w:t>
      </w:r>
      <w:r w:rsidRPr="00DA7A9F">
        <w:rPr>
          <w:color w:val="000000" w:themeColor="text1"/>
          <w:u w:color="000000" w:themeColor="text1"/>
        </w:rPr>
        <w:t>s estate.  Any other benefits unpaid at death may be paid, at the company</w:t>
      </w:r>
      <w:r w:rsidRPr="00CE691A">
        <w:rPr>
          <w:color w:val="000000" w:themeColor="text1"/>
          <w:u w:color="000000" w:themeColor="text1"/>
        </w:rPr>
        <w:t>’</w:t>
      </w:r>
      <w:r w:rsidRPr="00DA7A9F">
        <w:rPr>
          <w:color w:val="000000" w:themeColor="text1"/>
          <w:u w:color="000000" w:themeColor="text1"/>
        </w:rPr>
        <w:t>s option, either to the insured</w:t>
      </w:r>
      <w:r w:rsidRPr="00CE691A">
        <w:rPr>
          <w:color w:val="000000" w:themeColor="text1"/>
          <w:u w:color="000000" w:themeColor="text1"/>
        </w:rPr>
        <w:t>’</w:t>
      </w:r>
      <w:r w:rsidRPr="00DA7A9F">
        <w:rPr>
          <w:color w:val="000000" w:themeColor="text1"/>
          <w:u w:color="000000" w:themeColor="text1"/>
        </w:rPr>
        <w:t>s beneficiary or estate.</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DA7A9F">
        <w:rPr>
          <w:color w:val="000000" w:themeColor="text1"/>
          <w:u w:val="single" w:color="000000" w:themeColor="text1"/>
        </w:rPr>
        <w:t>The company shall pay all or a portion of any indemnities provided for health care services to the provider, unless the insured directs otherwise in writing by the time proofs of loss are filed.  The company cannot require that the services be rendered by a particular provider.</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A7A9F">
        <w:rPr>
          <w:color w:val="000000" w:themeColor="text1"/>
          <w:u w:color="000000" w:themeColor="text1"/>
        </w:rPr>
        <w:t>Optional paragraph:</w:t>
      </w:r>
      <w:r w:rsidR="004F682F">
        <w:rPr>
          <w:color w:val="000000" w:themeColor="text1"/>
          <w:u w:color="000000" w:themeColor="text1"/>
        </w:rPr>
        <w:t xml:space="preserve"> </w:t>
      </w:r>
      <w:r w:rsidRPr="00DA7A9F">
        <w:rPr>
          <w:color w:val="000000" w:themeColor="text1"/>
          <w:u w:color="000000" w:themeColor="text1"/>
        </w:rPr>
        <w:t xml:space="preserve"> If benefits are payable to the insured</w:t>
      </w:r>
      <w:r w:rsidRPr="00CE691A">
        <w:rPr>
          <w:color w:val="000000" w:themeColor="text1"/>
          <w:u w:color="000000" w:themeColor="text1"/>
        </w:rPr>
        <w:t>’</w:t>
      </w:r>
      <w:r w:rsidRPr="00DA7A9F">
        <w:rPr>
          <w:color w:val="000000" w:themeColor="text1"/>
          <w:u w:color="000000" w:themeColor="text1"/>
        </w:rPr>
        <w:t>s estate or a beneficiary who cannot execute a valid release, the company can pay benefits up to one thousand dollars to someone related to the insured or beneficiary by blood or marriage whom the company considers to be entitled to the benefits.  The company will be discharged to the extent of any such payment made in good faith.</w:t>
      </w:r>
      <w:r w:rsidRPr="00DA7A9F">
        <w:rPr>
          <w:color w:val="000000" w:themeColor="text1"/>
          <w:u w:color="000000" w:themeColor="text1"/>
        </w:rPr>
        <w:tab/>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691A">
        <w:rPr>
          <w:color w:val="000000" w:themeColor="text1"/>
          <w:u w:color="000000" w:themeColor="text1"/>
        </w:rPr>
        <w:tab/>
      </w:r>
      <w:r w:rsidRPr="00DA7A9F">
        <w:rPr>
          <w:strike/>
          <w:color w:val="000000" w:themeColor="text1"/>
          <w:u w:color="000000" w:themeColor="text1"/>
        </w:rPr>
        <w:t xml:space="preserve">Optional paragraph: </w:t>
      </w:r>
      <w:r w:rsidR="004F682F">
        <w:rPr>
          <w:strike/>
          <w:color w:val="000000" w:themeColor="text1"/>
          <w:u w:color="000000" w:themeColor="text1"/>
        </w:rPr>
        <w:t xml:space="preserve"> </w:t>
      </w:r>
      <w:r w:rsidRPr="00DA7A9F">
        <w:rPr>
          <w:strike/>
          <w:color w:val="000000" w:themeColor="text1"/>
          <w:u w:color="000000" w:themeColor="text1"/>
        </w:rPr>
        <w:t>The company may pay all or a portion of any indemnities provided for health care services to the provider, unless the insured directs otherwise in writing by the time proofs of loss are filed.  The company cannot require that the services be rendered by a particular provider.</w:t>
      </w:r>
      <w:r w:rsidRPr="00DA7A9F">
        <w:rPr>
          <w:color w:val="000000" w:themeColor="text1"/>
          <w:u w:color="000000" w:themeColor="text1"/>
        </w:rPr>
        <w:t>”</w:t>
      </w: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91A" w:rsidRPr="00DA7A9F" w:rsidRDefault="00CE691A" w:rsidP="00CE6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7A9F">
        <w:rPr>
          <w:color w:val="000000" w:themeColor="text1"/>
          <w:u w:color="000000" w:themeColor="text1"/>
        </w:rPr>
        <w:t>SECTION</w:t>
      </w:r>
      <w:r w:rsidRPr="00DA7A9F">
        <w:rPr>
          <w:color w:val="000000" w:themeColor="text1"/>
          <w:u w:color="000000" w:themeColor="text1"/>
        </w:rPr>
        <w:tab/>
        <w:t>2.</w:t>
      </w:r>
      <w:r w:rsidRPr="00DA7A9F">
        <w:rPr>
          <w:color w:val="000000" w:themeColor="text1"/>
          <w:u w:color="000000" w:themeColor="text1"/>
        </w:rPr>
        <w:tab/>
        <w:t>This act takes effect upon approval by the Governor.</w:t>
      </w:r>
    </w:p>
    <w:p w:rsidR="00F24FDA" w:rsidRDefault="00CE691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4FDA" w:rsidRDefault="00F24FDA" w:rsidP="000E015B">
      <w:pPr>
        <w:suppressAutoHyphens/>
        <w:jc w:val="both"/>
        <w:rPr>
          <w:rFonts w:eastAsia="Times New Roman"/>
        </w:rPr>
      </w:pPr>
    </w:p>
    <w:sectPr w:rsidR="00F24FDA" w:rsidSect="000E01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481" w:rsidRDefault="000F5481" w:rsidP="00522CE0">
      <w:r>
        <w:separator/>
      </w:r>
    </w:p>
  </w:endnote>
  <w:endnote w:type="continuationSeparator" w:id="0">
    <w:p w:rsidR="000F5481" w:rsidRDefault="000F5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88C113-5905-467E-AA54-B99DA90275BD}"/>
    <w:embedBold r:id="rId2" w:fontKey="{04A0B0F9-9C20-482D-A219-93B6E5BB39E4}"/>
  </w:font>
  <w:font w:name="Calibri">
    <w:panose1 w:val="020F0502020204030204"/>
    <w:charset w:val="00"/>
    <w:family w:val="swiss"/>
    <w:pitch w:val="variable"/>
    <w:sig w:usb0="E10002FF" w:usb1="4000ACFF" w:usb2="00000009" w:usb3="00000000" w:csb0="0000019F" w:csb1="00000000"/>
    <w:embedRegular r:id="rId3" w:fontKey="{17B351F5-60CB-49E4-8A6C-FE5E48197D6C}"/>
    <w:embedBold r:id="rId4" w:fontKey="{B9355022-4B3E-497B-B971-254C00FB35F3}"/>
  </w:font>
  <w:font w:name="Cambria">
    <w:panose1 w:val="02040503050406030204"/>
    <w:charset w:val="00"/>
    <w:family w:val="roman"/>
    <w:pitch w:val="variable"/>
    <w:sig w:usb0="E00002FF" w:usb1="400004FF" w:usb2="00000000" w:usb3="00000000" w:csb0="0000019F" w:csb1="00000000"/>
    <w:embedRegular r:id="rId5" w:fontKey="{07E32C69-7140-4FD2-A665-E24C0116FB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15B" w:rsidRPr="00F24FDA" w:rsidRDefault="000E015B" w:rsidP="00F24FDA">
    <w:pPr>
      <w:pStyle w:val="Footer"/>
      <w:tabs>
        <w:tab w:val="clear" w:pos="4680"/>
        <w:tab w:val="clear" w:pos="9360"/>
        <w:tab w:val="center" w:pos="2995"/>
      </w:tabs>
      <w:spacing w:before="120"/>
    </w:pPr>
    <w:r>
      <w:t>[233]</w:t>
    </w:r>
    <w:r>
      <w:tab/>
    </w:r>
    <w:r w:rsidR="00B60A0F">
      <w:fldChar w:fldCharType="begin"/>
    </w:r>
    <w:r w:rsidR="00B60A0F">
      <w:instrText xml:space="preserve"> PAGE  \* MERGEFORMAT </w:instrText>
    </w:r>
    <w:r w:rsidR="00B60A0F">
      <w:fldChar w:fldCharType="separate"/>
    </w:r>
    <w:r w:rsidR="00B60A0F">
      <w:rPr>
        <w:noProof/>
      </w:rPr>
      <w:t>1</w:t>
    </w:r>
    <w:r w:rsidR="00B60A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481" w:rsidRDefault="000F5481" w:rsidP="00522CE0">
      <w:r>
        <w:separator/>
      </w:r>
    </w:p>
  </w:footnote>
  <w:footnote w:type="continuationSeparator" w:id="0">
    <w:p w:rsidR="000F5481" w:rsidRDefault="000F5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04BENE.EBD.REC"/>
    <w:docVar w:name="CoverAttorneyInitials" w:val="EBD"/>
    <w:docVar w:name="CoverAttorneyLastName" w:val="Donaldson"/>
    <w:docVar w:name="CoverBillType" w:val="b"/>
    <w:docVar w:name="CoverSenator" w:val="REC"/>
    <w:docVar w:name="dvBillNumber" w:val="233"/>
    <w:docVar w:name="dvBillNumberPrefix" w:val="S. "/>
    <w:docVar w:name="dvOriginalBody" w:val="Senate"/>
    <w:docVar w:name="fulldraftpath" w:val="L:\S-RES\REC\004BENE.EBD.REC.DOCX"/>
    <w:docVar w:name="NameofBody" w:val="S"/>
    <w:docVar w:name="vgroup2" w:val="S-RES"/>
  </w:docVars>
  <w:rsids>
    <w:rsidRoot w:val="004F25E8"/>
    <w:rsid w:val="00042AC1"/>
    <w:rsid w:val="00046516"/>
    <w:rsid w:val="0007601D"/>
    <w:rsid w:val="000B0720"/>
    <w:rsid w:val="000B5EAF"/>
    <w:rsid w:val="000E015B"/>
    <w:rsid w:val="000F5481"/>
    <w:rsid w:val="00111EC4"/>
    <w:rsid w:val="00167F3C"/>
    <w:rsid w:val="00170561"/>
    <w:rsid w:val="00176340"/>
    <w:rsid w:val="00186AC9"/>
    <w:rsid w:val="00197DF1"/>
    <w:rsid w:val="001B3DD9"/>
    <w:rsid w:val="001B7E5D"/>
    <w:rsid w:val="001D3BAC"/>
    <w:rsid w:val="00215741"/>
    <w:rsid w:val="00245C4E"/>
    <w:rsid w:val="002C1321"/>
    <w:rsid w:val="002C5896"/>
    <w:rsid w:val="002D3BED"/>
    <w:rsid w:val="002D7150"/>
    <w:rsid w:val="00307C2B"/>
    <w:rsid w:val="003718DB"/>
    <w:rsid w:val="00383247"/>
    <w:rsid w:val="003A700F"/>
    <w:rsid w:val="003A77AE"/>
    <w:rsid w:val="003D1D3C"/>
    <w:rsid w:val="003D6E2B"/>
    <w:rsid w:val="003E7597"/>
    <w:rsid w:val="00414D11"/>
    <w:rsid w:val="00450668"/>
    <w:rsid w:val="004952FA"/>
    <w:rsid w:val="004B6A22"/>
    <w:rsid w:val="004D7F37"/>
    <w:rsid w:val="004F25E8"/>
    <w:rsid w:val="004F682F"/>
    <w:rsid w:val="00522CE0"/>
    <w:rsid w:val="00565148"/>
    <w:rsid w:val="00593361"/>
    <w:rsid w:val="005A5017"/>
    <w:rsid w:val="005A648C"/>
    <w:rsid w:val="005E01D1"/>
    <w:rsid w:val="005F1745"/>
    <w:rsid w:val="00621A18"/>
    <w:rsid w:val="00625CFF"/>
    <w:rsid w:val="006C74EA"/>
    <w:rsid w:val="006E27E0"/>
    <w:rsid w:val="00720D40"/>
    <w:rsid w:val="007219A4"/>
    <w:rsid w:val="007318D4"/>
    <w:rsid w:val="0073691C"/>
    <w:rsid w:val="00765784"/>
    <w:rsid w:val="007A4390"/>
    <w:rsid w:val="007E5CB7"/>
    <w:rsid w:val="008314D2"/>
    <w:rsid w:val="0089759E"/>
    <w:rsid w:val="008B2F42"/>
    <w:rsid w:val="008E185F"/>
    <w:rsid w:val="008F023B"/>
    <w:rsid w:val="00904E16"/>
    <w:rsid w:val="009162B3"/>
    <w:rsid w:val="00927C62"/>
    <w:rsid w:val="00983951"/>
    <w:rsid w:val="00984124"/>
    <w:rsid w:val="00984640"/>
    <w:rsid w:val="00995C37"/>
    <w:rsid w:val="009C118A"/>
    <w:rsid w:val="00A02011"/>
    <w:rsid w:val="00A156E7"/>
    <w:rsid w:val="00A4011E"/>
    <w:rsid w:val="00A86015"/>
    <w:rsid w:val="00A92D50"/>
    <w:rsid w:val="00A9594E"/>
    <w:rsid w:val="00AE59C8"/>
    <w:rsid w:val="00AF525B"/>
    <w:rsid w:val="00B10098"/>
    <w:rsid w:val="00B5790D"/>
    <w:rsid w:val="00B60676"/>
    <w:rsid w:val="00B60A0F"/>
    <w:rsid w:val="00B840DF"/>
    <w:rsid w:val="00B945C5"/>
    <w:rsid w:val="00BA20EA"/>
    <w:rsid w:val="00BB5AFC"/>
    <w:rsid w:val="00BC0A56"/>
    <w:rsid w:val="00BF1397"/>
    <w:rsid w:val="00C45366"/>
    <w:rsid w:val="00C57023"/>
    <w:rsid w:val="00C6418C"/>
    <w:rsid w:val="00C74052"/>
    <w:rsid w:val="00CB187A"/>
    <w:rsid w:val="00CC0EC7"/>
    <w:rsid w:val="00CE691A"/>
    <w:rsid w:val="00D1088B"/>
    <w:rsid w:val="00D156D2"/>
    <w:rsid w:val="00D17BFA"/>
    <w:rsid w:val="00D826E1"/>
    <w:rsid w:val="00D83F6E"/>
    <w:rsid w:val="00D86943"/>
    <w:rsid w:val="00DA47B9"/>
    <w:rsid w:val="00E058D3"/>
    <w:rsid w:val="00E56FC7"/>
    <w:rsid w:val="00E76AD9"/>
    <w:rsid w:val="00E840D5"/>
    <w:rsid w:val="00E91E2F"/>
    <w:rsid w:val="00E94E12"/>
    <w:rsid w:val="00EA3546"/>
    <w:rsid w:val="00EB47AE"/>
    <w:rsid w:val="00EC34E1"/>
    <w:rsid w:val="00F0234A"/>
    <w:rsid w:val="00F1195B"/>
    <w:rsid w:val="00F24FDA"/>
    <w:rsid w:val="00F52959"/>
    <w:rsid w:val="00F55884"/>
    <w:rsid w:val="00F6116F"/>
    <w:rsid w:val="00FA168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128D406F-3BEE-4BC3-AFFC-0FE8822E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01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33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416</Words>
  <Characters>2177</Characters>
  <Application>Microsoft Office Word</Application>
  <DocSecurity>4</DocSecurity>
  <Lines>83</Lines>
  <Paragraphs>30</Paragraphs>
  <ScaleCrop>false</ScaleCrop>
  <Company> </Company>
  <LinksUpToDate>false</LinksUpToDate>
  <CharactersWithSpaces>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233: Accident and health policy forms - South Carolina Legislature Online</dc:title>
  <dc:subject/>
  <dc:creator>EmilyMoore</dc:creator>
  <cp:keywords/>
  <dc:description/>
  <cp:lastModifiedBy>N Cumfer</cp:lastModifiedBy>
  <cp:revision>2</cp:revision>
  <cp:lastPrinted>2010-12-07T20:10:00Z</cp:lastPrinted>
  <dcterms:created xsi:type="dcterms:W3CDTF">2014-11-21T20:32:00Z</dcterms:created>
  <dcterms:modified xsi:type="dcterms:W3CDTF">2014-11-21T20:32:00Z</dcterms:modified>
</cp:coreProperties>
</file>