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3C8" w:rsidRDefault="002D03C8" w:rsidP="002D03C8">
      <w:pPr>
        <w:widowControl w:val="0"/>
        <w:jc w:val="center"/>
      </w:pPr>
      <w:bookmarkStart w:id="0" w:name="_GoBack"/>
      <w:bookmarkEnd w:id="0"/>
      <w:r w:rsidRPr="002D03C8">
        <w:rPr>
          <w:b/>
        </w:rPr>
        <w:t>South Carolina General Assembly</w:t>
      </w:r>
    </w:p>
    <w:p w:rsidR="002D03C8" w:rsidRDefault="002D03C8" w:rsidP="002D03C8">
      <w:pPr>
        <w:widowControl w:val="0"/>
        <w:jc w:val="center"/>
      </w:pPr>
      <w:r>
        <w:t>119th Session, 2011-2012</w:t>
      </w:r>
    </w:p>
    <w:p w:rsidR="002D03C8" w:rsidRDefault="002D03C8" w:rsidP="002D03C8">
      <w:pPr>
        <w:widowControl w:val="0"/>
      </w:pPr>
    </w:p>
    <w:p w:rsidR="002D03C8" w:rsidRDefault="002D03C8" w:rsidP="002D03C8">
      <w:pPr>
        <w:widowControl w:val="0"/>
        <w:rPr>
          <w:b/>
        </w:rPr>
      </w:pPr>
      <w:r w:rsidRPr="002D03C8">
        <w:rPr>
          <w:b/>
        </w:rPr>
        <w:t>S.</w:t>
      </w:r>
      <w:r>
        <w:rPr>
          <w:b/>
        </w:rPr>
        <w:t xml:space="preserve"> </w:t>
      </w:r>
      <w:r w:rsidRPr="002D03C8">
        <w:rPr>
          <w:b/>
        </w:rPr>
        <w:t>28</w:t>
      </w:r>
    </w:p>
    <w:p w:rsidR="002D03C8" w:rsidRDefault="002D03C8" w:rsidP="002D03C8">
      <w:pPr>
        <w:widowControl w:val="0"/>
        <w:rPr>
          <w:b/>
        </w:rPr>
      </w:pPr>
    </w:p>
    <w:p w:rsidR="002D03C8" w:rsidRDefault="002D03C8" w:rsidP="002D03C8">
      <w:pPr>
        <w:widowControl w:val="0"/>
      </w:pPr>
      <w:r w:rsidRPr="002D03C8">
        <w:rPr>
          <w:b/>
        </w:rPr>
        <w:t>STATUS INFORMATION</w:t>
      </w:r>
    </w:p>
    <w:p w:rsidR="002D03C8" w:rsidRDefault="002D03C8" w:rsidP="002D03C8">
      <w:pPr>
        <w:widowControl w:val="0"/>
      </w:pPr>
    </w:p>
    <w:p w:rsidR="002D03C8" w:rsidRDefault="002D03C8" w:rsidP="002D03C8">
      <w:pPr>
        <w:widowControl w:val="0"/>
      </w:pPr>
      <w:r>
        <w:t>General Bill</w:t>
      </w:r>
    </w:p>
    <w:p w:rsidR="002D03C8" w:rsidRDefault="00912EDB" w:rsidP="002D03C8">
      <w:pPr>
        <w:widowControl w:val="0"/>
      </w:pPr>
      <w:r>
        <w:t>Sponsors: Senators McConnell, McGill, Verdin and Rankin</w:t>
      </w:r>
    </w:p>
    <w:p w:rsidR="002D03C8" w:rsidRDefault="002D03C8" w:rsidP="002D03C8">
      <w:pPr>
        <w:widowControl w:val="0"/>
      </w:pPr>
      <w:r>
        <w:t>Document Path: l:\s-jud\bills\mcconnell\jud0031.pb.docx</w:t>
      </w:r>
    </w:p>
    <w:p w:rsidR="002D03C8" w:rsidRDefault="002D03C8" w:rsidP="002D03C8">
      <w:pPr>
        <w:widowControl w:val="0"/>
      </w:pPr>
    </w:p>
    <w:p w:rsidR="00DC0C5F" w:rsidRDefault="00DC0C5F" w:rsidP="002D03C8">
      <w:pPr>
        <w:widowControl w:val="0"/>
      </w:pPr>
      <w:r>
        <w:t>Introduced in the Senate on January 11, 2011</w:t>
      </w:r>
    </w:p>
    <w:p w:rsidR="00DC0C5F" w:rsidRPr="00DC0C5F" w:rsidRDefault="00DC0C5F" w:rsidP="002D03C8">
      <w:pPr>
        <w:widowControl w:val="0"/>
      </w:pPr>
      <w:r>
        <w:t xml:space="preserve">Currently residing in the Senate Committee on </w:t>
      </w:r>
      <w:r w:rsidRPr="00DC0C5F">
        <w:rPr>
          <w:b/>
        </w:rPr>
        <w:t>Judiciary</w:t>
      </w:r>
    </w:p>
    <w:p w:rsidR="00DC0C5F" w:rsidRDefault="00DC0C5F" w:rsidP="002D03C8">
      <w:pPr>
        <w:widowControl w:val="0"/>
      </w:pPr>
    </w:p>
    <w:p w:rsidR="002D03C8" w:rsidRDefault="002D03C8" w:rsidP="002D03C8">
      <w:pPr>
        <w:widowControl w:val="0"/>
      </w:pPr>
      <w:r>
        <w:t xml:space="preserve">Summary: </w:t>
      </w:r>
      <w:r w:rsidR="00CD63D9">
        <w:t>Governor</w:t>
      </w:r>
    </w:p>
    <w:p w:rsidR="002D03C8" w:rsidRDefault="002D03C8" w:rsidP="002D03C8">
      <w:pPr>
        <w:widowControl w:val="0"/>
      </w:pPr>
    </w:p>
    <w:p w:rsidR="002D03C8" w:rsidRDefault="002D03C8" w:rsidP="002D03C8">
      <w:pPr>
        <w:widowControl w:val="0"/>
      </w:pPr>
    </w:p>
    <w:p w:rsidR="002D03C8" w:rsidRDefault="002D03C8" w:rsidP="002D03C8">
      <w:pPr>
        <w:widowControl w:val="0"/>
        <w:tabs>
          <w:tab w:val="center" w:pos="590"/>
          <w:tab w:val="center" w:pos="1440"/>
          <w:tab w:val="left" w:pos="1872"/>
          <w:tab w:val="left" w:pos="9187"/>
        </w:tabs>
      </w:pPr>
      <w:r w:rsidRPr="002D03C8">
        <w:rPr>
          <w:b/>
        </w:rPr>
        <w:t>HISTORY OF LEGISLATIVE ACTIONS</w:t>
      </w:r>
    </w:p>
    <w:p w:rsidR="002D03C8" w:rsidRDefault="002D03C8" w:rsidP="002D03C8">
      <w:pPr>
        <w:widowControl w:val="0"/>
        <w:tabs>
          <w:tab w:val="center" w:pos="590"/>
          <w:tab w:val="center" w:pos="1440"/>
          <w:tab w:val="left" w:pos="1872"/>
          <w:tab w:val="left" w:pos="9187"/>
        </w:tabs>
      </w:pPr>
    </w:p>
    <w:p w:rsidR="002D03C8" w:rsidRPr="002D03C8" w:rsidRDefault="002D03C8" w:rsidP="002D03C8">
      <w:pPr>
        <w:widowControl w:val="0"/>
        <w:tabs>
          <w:tab w:val="center" w:pos="590"/>
          <w:tab w:val="center" w:pos="1440"/>
          <w:tab w:val="left" w:pos="1872"/>
          <w:tab w:val="left" w:pos="9187"/>
        </w:tabs>
      </w:pPr>
      <w:r w:rsidRPr="002D03C8">
        <w:rPr>
          <w:u w:val="single"/>
        </w:rPr>
        <w:tab/>
        <w:t>Date</w:t>
      </w:r>
      <w:r w:rsidRPr="002D03C8">
        <w:rPr>
          <w:u w:val="single"/>
        </w:rPr>
        <w:tab/>
        <w:t>Body</w:t>
      </w:r>
      <w:r w:rsidRPr="002D03C8">
        <w:rPr>
          <w:u w:val="single"/>
        </w:rPr>
        <w:tab/>
        <w:t>Action Description with journal page number</w:t>
      </w:r>
      <w:r w:rsidRPr="002D03C8">
        <w:rPr>
          <w:u w:val="single"/>
        </w:rPr>
        <w:tab/>
      </w:r>
    </w:p>
    <w:p w:rsidR="004E219E" w:rsidRDefault="004E219E" w:rsidP="004E219E">
      <w:pPr>
        <w:widowControl w:val="0"/>
        <w:tabs>
          <w:tab w:val="right" w:pos="1008"/>
          <w:tab w:val="left" w:pos="1152"/>
          <w:tab w:val="left" w:pos="1872"/>
          <w:tab w:val="left" w:pos="9187"/>
        </w:tabs>
        <w:ind w:left="2088" w:hanging="2088"/>
      </w:pPr>
      <w:r>
        <w:tab/>
        <w:t>12/1/2010</w:t>
      </w:r>
      <w:r>
        <w:tab/>
        <w:t>Senate</w:t>
      </w:r>
      <w:r>
        <w:tab/>
      </w:r>
      <w:r w:rsidRPr="00465198">
        <w:t>Prefiled</w:t>
      </w:r>
    </w:p>
    <w:p w:rsidR="004E219E" w:rsidRDefault="004E219E" w:rsidP="004E219E">
      <w:pPr>
        <w:widowControl w:val="0"/>
        <w:tabs>
          <w:tab w:val="right" w:pos="1008"/>
          <w:tab w:val="left" w:pos="1152"/>
          <w:tab w:val="left" w:pos="1872"/>
          <w:tab w:val="left" w:pos="9187"/>
        </w:tabs>
        <w:ind w:left="2088" w:hanging="2088"/>
      </w:pPr>
      <w:r>
        <w:tab/>
        <w:t>12/1/2010</w:t>
      </w:r>
      <w:r>
        <w:tab/>
        <w:t>Senate</w:t>
      </w:r>
      <w:r>
        <w:tab/>
      </w:r>
      <w:r w:rsidRPr="00465198">
        <w:t xml:space="preserve">Referred to Committee on </w:t>
      </w:r>
      <w:r w:rsidRPr="00465198">
        <w:rPr>
          <w:b/>
        </w:rPr>
        <w:t>Judiciary</w:t>
      </w:r>
    </w:p>
    <w:p w:rsidR="004E219E" w:rsidRDefault="004E219E" w:rsidP="004E219E">
      <w:pPr>
        <w:widowControl w:val="0"/>
        <w:tabs>
          <w:tab w:val="right" w:pos="1008"/>
          <w:tab w:val="left" w:pos="1152"/>
          <w:tab w:val="left" w:pos="1872"/>
          <w:tab w:val="left" w:pos="9187"/>
        </w:tabs>
        <w:ind w:left="2088" w:hanging="2088"/>
      </w:pPr>
      <w:r>
        <w:tab/>
        <w:t>1/11/2011</w:t>
      </w:r>
      <w:r>
        <w:tab/>
        <w:t>Senate</w:t>
      </w:r>
      <w:r>
        <w:tab/>
      </w:r>
      <w:r w:rsidRPr="00465198">
        <w:t>Introduced and read first time (</w:t>
      </w:r>
      <w:hyperlink r:id="rId6" w:history="1">
        <w:r w:rsidRPr="00465198">
          <w:rPr>
            <w:rStyle w:val="Hyperlink"/>
          </w:rPr>
          <w:t>Senate Journal</w:t>
        </w:r>
        <w:r w:rsidRPr="00465198">
          <w:rPr>
            <w:rStyle w:val="Hyperlink"/>
          </w:rPr>
          <w:noBreakHyphen/>
          <w:t>page 19</w:t>
        </w:r>
      </w:hyperlink>
      <w:r w:rsidRPr="00465198">
        <w:t>)</w:t>
      </w:r>
    </w:p>
    <w:p w:rsidR="004E219E" w:rsidRDefault="004E219E" w:rsidP="004E219E">
      <w:pPr>
        <w:widowControl w:val="0"/>
        <w:tabs>
          <w:tab w:val="right" w:pos="1008"/>
          <w:tab w:val="left" w:pos="1152"/>
          <w:tab w:val="left" w:pos="1872"/>
          <w:tab w:val="left" w:pos="9187"/>
        </w:tabs>
        <w:ind w:left="2088" w:hanging="2088"/>
      </w:pPr>
      <w:r>
        <w:tab/>
        <w:t>1/11/2011</w:t>
      </w:r>
      <w:r>
        <w:tab/>
        <w:t>Senate</w:t>
      </w:r>
      <w:r>
        <w:tab/>
      </w:r>
      <w:r w:rsidRPr="00465198">
        <w:t>Referred to</w:t>
      </w:r>
      <w:r>
        <w:t xml:space="preserve"> Committee on </w:t>
      </w:r>
      <w:r w:rsidRPr="00465198">
        <w:rPr>
          <w:b/>
        </w:rPr>
        <w:t>Judiciary</w:t>
      </w:r>
      <w:r>
        <w:t xml:space="preserve"> </w:t>
      </w:r>
      <w:r w:rsidRPr="00465198">
        <w:t>(</w:t>
      </w:r>
      <w:hyperlink r:id="rId7" w:history="1">
        <w:r w:rsidRPr="00465198">
          <w:rPr>
            <w:rStyle w:val="Hyperlink"/>
          </w:rPr>
          <w:t>Senate Journal</w:t>
        </w:r>
        <w:r w:rsidRPr="00465198">
          <w:rPr>
            <w:rStyle w:val="Hyperlink"/>
          </w:rPr>
          <w:noBreakHyphen/>
          <w:t>page 19</w:t>
        </w:r>
      </w:hyperlink>
      <w:r w:rsidRPr="00465198">
        <w:t>)</w:t>
      </w:r>
    </w:p>
    <w:p w:rsidR="004E219E" w:rsidRDefault="004E219E" w:rsidP="004E219E">
      <w:pPr>
        <w:widowControl w:val="0"/>
        <w:tabs>
          <w:tab w:val="right" w:pos="1008"/>
          <w:tab w:val="left" w:pos="1152"/>
          <w:tab w:val="left" w:pos="1872"/>
          <w:tab w:val="left" w:pos="9187"/>
        </w:tabs>
        <w:ind w:left="2088" w:hanging="2088"/>
      </w:pPr>
      <w:r>
        <w:tab/>
        <w:t>1/21/2011</w:t>
      </w:r>
      <w:r>
        <w:tab/>
        <w:t>Senate</w:t>
      </w:r>
      <w:r>
        <w:tab/>
      </w:r>
      <w:r w:rsidRPr="00465198">
        <w:t>Referred to Sub</w:t>
      </w:r>
      <w:r>
        <w:t xml:space="preserve">committee: L.Martin (ch), Ford, </w:t>
      </w:r>
      <w:r w:rsidRPr="00465198">
        <w:t>Hutto, Campsen, Campbell, S.Martin, Scott</w:t>
      </w:r>
    </w:p>
    <w:p w:rsidR="004E219E" w:rsidRDefault="004E219E" w:rsidP="004E219E">
      <w:pPr>
        <w:widowControl w:val="0"/>
        <w:tabs>
          <w:tab w:val="right" w:pos="1008"/>
          <w:tab w:val="left" w:pos="1152"/>
          <w:tab w:val="left" w:pos="1872"/>
          <w:tab w:val="left" w:pos="9187"/>
        </w:tabs>
        <w:ind w:left="2088" w:hanging="2088"/>
      </w:pPr>
    </w:p>
    <w:p w:rsidR="002D03C8" w:rsidRPr="002D03C8" w:rsidRDefault="002D03C8" w:rsidP="002D03C8">
      <w:pPr>
        <w:widowControl w:val="0"/>
        <w:tabs>
          <w:tab w:val="right" w:pos="1008"/>
          <w:tab w:val="left" w:pos="1152"/>
          <w:tab w:val="left" w:pos="1872"/>
          <w:tab w:val="left" w:pos="9187"/>
        </w:tabs>
        <w:ind w:left="2088" w:hanging="2088"/>
      </w:pPr>
    </w:p>
    <w:p w:rsidR="002D03C8" w:rsidRDefault="002D03C8" w:rsidP="002D03C8">
      <w:pPr>
        <w:widowControl w:val="0"/>
      </w:pPr>
      <w:r w:rsidRPr="002D03C8">
        <w:rPr>
          <w:b/>
        </w:rPr>
        <w:t>VERSIONS OF THIS BILL</w:t>
      </w:r>
    </w:p>
    <w:p w:rsidR="002D03C8" w:rsidRDefault="002D03C8" w:rsidP="002D03C8">
      <w:pPr>
        <w:widowControl w:val="0"/>
      </w:pPr>
    </w:p>
    <w:p w:rsidR="002D03C8" w:rsidRDefault="00AE408E" w:rsidP="002D03C8">
      <w:pPr>
        <w:widowControl w:val="0"/>
      </w:pPr>
      <w:hyperlink r:id="rId8" w:history="1">
        <w:r w:rsidR="002D03C8">
          <w:rPr>
            <w:rStyle w:val="Hyperlink"/>
          </w:rPr>
          <w:t>12/1/2010</w:t>
        </w:r>
      </w:hyperlink>
    </w:p>
    <w:p w:rsidR="002D03C8" w:rsidRDefault="002D03C8" w:rsidP="002D03C8"/>
    <w:p w:rsidR="002D03C8" w:rsidRDefault="002D03C8" w:rsidP="002D03C8">
      <w:pPr>
        <w:sectPr w:rsidR="002D03C8" w:rsidSect="002D03C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BB6" w:rsidRPr="008F023B"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130BB6" w:rsidRPr="00522CE0"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bookmarkStart w:id="3" w:name="titletop"/>
      <w:bookmarkEnd w:id="3"/>
      <w:r w:rsidRPr="000D0519">
        <w:rPr>
          <w:color w:val="000000" w:themeColor="text1"/>
          <w:spacing w:val="-2"/>
          <w:u w:color="000000" w:themeColor="text1"/>
        </w:rPr>
        <w:t>TO AMEND THE CODE OF LAWS OF SOUTH CAROLINA, 1976, BY ADDING SECTION 1-3-500, SO AS TO PROVIDE THAT WHEN THE GOVERNOR LEAVES THE STATE, HE MUST NOTIFY THE LIEUTENANT GOVERNOR, WHETHER OR NOT THE POWER OF THE GOVERNOR’S OFFICE IS TRANSFERRED TO THE LIEUTENANT GOVERNOR; AND BY ADDING SECTION 1</w:t>
      </w:r>
      <w:r w:rsidRPr="000D0519">
        <w:rPr>
          <w:color w:val="000000" w:themeColor="text1"/>
          <w:spacing w:val="-2"/>
          <w:u w:color="000000" w:themeColor="text1"/>
        </w:rPr>
        <w:noBreakHyphen/>
        <w:t>3</w:t>
      </w:r>
      <w:r w:rsidRPr="000D0519">
        <w:rPr>
          <w:color w:val="000000" w:themeColor="text1"/>
          <w:spacing w:val="-2"/>
          <w:u w:color="000000" w:themeColor="text1"/>
        </w:rPr>
        <w:noBreakHyphen/>
        <w:t>630, SO AS TO DEFINE “EMERGENCY”,  “FULL AUTHORITY”,  AND “TEMPORARY ABSENCE” IN ORDER TO CLARIFY WHEN A LIEUTENANT GOVERNOR HAS THE FULL AUTHORITY TO ACT IN AN EMERGENCY IN THE EVENT OF THE TEMPORARY ABSENCE OF THE GOVERNOR FROM THE STATE.</w:t>
      </w:r>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D0519">
        <w:rPr>
          <w:color w:val="000000" w:themeColor="text1"/>
          <w:spacing w:val="-2"/>
          <w:u w:color="000000" w:themeColor="text1"/>
        </w:rPr>
        <w:t>SECTION</w:t>
      </w:r>
      <w:r w:rsidRPr="000D0519">
        <w:rPr>
          <w:color w:val="000000" w:themeColor="text1"/>
          <w:spacing w:val="-2"/>
          <w:u w:color="000000" w:themeColor="text1"/>
        </w:rPr>
        <w:tab/>
        <w:t>1.</w:t>
      </w:r>
      <w:r w:rsidRPr="000D0519">
        <w:rPr>
          <w:color w:val="000000" w:themeColor="text1"/>
          <w:spacing w:val="-2"/>
          <w:u w:color="000000" w:themeColor="text1"/>
        </w:rPr>
        <w:tab/>
      </w:r>
      <w:r>
        <w:rPr>
          <w:color w:val="000000" w:themeColor="text1"/>
          <w:spacing w:val="-2"/>
          <w:u w:color="000000" w:themeColor="text1"/>
        </w:rPr>
        <w:t>Section 1-3-500 of t</w:t>
      </w:r>
      <w:r w:rsidRPr="000D0519">
        <w:rPr>
          <w:rFonts w:eastAsia="Times New Roman"/>
          <w:snapToGrid w:val="0"/>
          <w:szCs w:val="20"/>
        </w:rPr>
        <w:t>he 1976 Code is amended by adding:</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Pr>
          <w:rFonts w:eastAsia="Times New Roman"/>
          <w:snapToGrid w:val="0"/>
          <w:szCs w:val="20"/>
        </w:rPr>
        <w:tab/>
        <w:t>“Section</w:t>
      </w:r>
      <w:r>
        <w:rPr>
          <w:rFonts w:eastAsia="Times New Roman"/>
          <w:snapToGrid w:val="0"/>
          <w:szCs w:val="20"/>
        </w:rPr>
        <w:tab/>
        <w:t>1-3-500.</w:t>
      </w:r>
      <w:r w:rsidRPr="000D0519">
        <w:rPr>
          <w:rFonts w:eastAsia="Times New Roman"/>
          <w:snapToGrid w:val="0"/>
          <w:szCs w:val="20"/>
        </w:rPr>
        <w:tab/>
      </w:r>
      <w:r w:rsidRPr="000D0519">
        <w:t>Whenever the Governor leaves the State, he must notify the Lieutenant Governor.  This section applies whether or not the power of the Governor’s office is transferred to the Lieutenant Governor.”</w:t>
      </w:r>
      <w:r w:rsidRPr="000D0519">
        <w:tab/>
      </w:r>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0D0519">
        <w:rPr>
          <w:color w:val="000000" w:themeColor="text1"/>
          <w:spacing w:val="-2"/>
          <w:u w:color="000000" w:themeColor="text1"/>
        </w:rPr>
        <w:t>SECTION</w:t>
      </w:r>
      <w:r w:rsidRPr="000D0519">
        <w:rPr>
          <w:color w:val="000000" w:themeColor="text1"/>
          <w:spacing w:val="-2"/>
          <w:u w:color="000000" w:themeColor="text1"/>
        </w:rPr>
        <w:tab/>
        <w:t>2.</w:t>
      </w:r>
      <w:r w:rsidRPr="000D0519">
        <w:rPr>
          <w:color w:val="000000" w:themeColor="text1"/>
          <w:spacing w:val="-2"/>
          <w:u w:color="000000" w:themeColor="text1"/>
        </w:rPr>
        <w:tab/>
        <w:t>Chapter 3, Title 1 of the 1976 Code is amended by adding:</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t>“Section 1</w:t>
      </w:r>
      <w:r w:rsidRPr="000D0519">
        <w:rPr>
          <w:rFonts w:eastAsia="Times New Roman"/>
          <w:color w:val="000000" w:themeColor="text1"/>
          <w:szCs w:val="24"/>
          <w:u w:color="000000" w:themeColor="text1"/>
        </w:rPr>
        <w:noBreakHyphen/>
        <w:t>3</w:t>
      </w:r>
      <w:r w:rsidRPr="000D0519">
        <w:rPr>
          <w:rFonts w:eastAsia="Times New Roman"/>
          <w:color w:val="000000" w:themeColor="text1"/>
          <w:szCs w:val="24"/>
          <w:u w:color="000000" w:themeColor="text1"/>
        </w:rPr>
        <w:noBreakHyphen/>
        <w:t>630.</w:t>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For purposes of this section:</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(1)</w:t>
      </w:r>
      <w:r w:rsidRPr="000D0519">
        <w:rPr>
          <w:rFonts w:eastAsia="Times New Roman"/>
          <w:color w:val="000000" w:themeColor="text1"/>
          <w:szCs w:val="24"/>
          <w:u w:color="000000" w:themeColor="text1"/>
        </w:rPr>
        <w:tab/>
        <w:t>‘Emergency’ means:</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 xml:space="preserve">an </w:t>
      </w:r>
      <w:r w:rsidRPr="000D0519">
        <w:rPr>
          <w:color w:val="000000" w:themeColor="text1"/>
          <w:szCs w:val="24"/>
          <w:u w:color="000000" w:themeColor="text1"/>
        </w:rPr>
        <w:t>unlawful assemblage, violence or threats of violence, or a public health emergency, as defined in Section 44</w:t>
      </w:r>
      <w:r w:rsidRPr="000D0519">
        <w:rPr>
          <w:color w:val="000000" w:themeColor="text1"/>
          <w:szCs w:val="24"/>
          <w:u w:color="000000" w:themeColor="text1"/>
        </w:rPr>
        <w:noBreakHyphen/>
        <w:t>4</w:t>
      </w:r>
      <w:r w:rsidRPr="000D0519">
        <w:rPr>
          <w:color w:val="000000" w:themeColor="text1"/>
          <w:szCs w:val="24"/>
          <w:u w:color="000000" w:themeColor="text1"/>
        </w:rPr>
        <w:noBreakHyphen/>
        <w:t>130, that warrants a gubernatorial proclamation of emergency as provided in Section 1</w:t>
      </w:r>
      <w:r w:rsidRPr="000D0519">
        <w:rPr>
          <w:color w:val="000000" w:themeColor="text1"/>
          <w:szCs w:val="24"/>
          <w:u w:color="000000" w:themeColor="text1"/>
        </w:rPr>
        <w:noBreakHyphen/>
        <w:t>3</w:t>
      </w:r>
      <w:r w:rsidRPr="000D0519">
        <w:rPr>
          <w:color w:val="000000" w:themeColor="text1"/>
          <w:szCs w:val="24"/>
          <w:u w:color="000000" w:themeColor="text1"/>
        </w:rPr>
        <w:noBreakHyphen/>
        <w:t>420; or</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szCs w:val="24"/>
          <w:u w:color="000000" w:themeColor="text1"/>
        </w:rPr>
        <w:tab/>
      </w:r>
      <w:r w:rsidRPr="000D0519">
        <w:rPr>
          <w:color w:val="000000" w:themeColor="text1"/>
          <w:szCs w:val="24"/>
          <w:u w:color="000000" w:themeColor="text1"/>
        </w:rPr>
        <w:tab/>
      </w:r>
      <w:r w:rsidRPr="000D0519">
        <w:rPr>
          <w:color w:val="000000" w:themeColor="text1"/>
          <w:szCs w:val="24"/>
          <w:u w:color="000000" w:themeColor="text1"/>
        </w:rPr>
        <w:tab/>
        <w:t>(b)</w:t>
      </w:r>
      <w:r w:rsidRPr="000D0519">
        <w:rPr>
          <w:color w:val="000000" w:themeColor="text1"/>
          <w:szCs w:val="24"/>
          <w:u w:color="000000" w:themeColor="text1"/>
        </w:rPr>
        <w:tab/>
        <w:t>an attack, as defined in Section 1</w:t>
      </w:r>
      <w:r w:rsidRPr="000D0519">
        <w:rPr>
          <w:color w:val="000000" w:themeColor="text1"/>
          <w:szCs w:val="24"/>
          <w:u w:color="000000" w:themeColor="text1"/>
        </w:rPr>
        <w:noBreakHyphen/>
        <w:t>9</w:t>
      </w:r>
      <w:r w:rsidRPr="000D0519">
        <w:rPr>
          <w:color w:val="000000" w:themeColor="text1"/>
          <w:szCs w:val="24"/>
          <w:u w:color="000000" w:themeColor="text1"/>
        </w:rPr>
        <w:noBreakHyphen/>
        <w:t>20(d); or</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szCs w:val="24"/>
          <w:u w:color="000000" w:themeColor="text1"/>
        </w:rPr>
        <w:tab/>
      </w:r>
      <w:r w:rsidRPr="000D0519">
        <w:rPr>
          <w:color w:val="000000" w:themeColor="text1"/>
          <w:szCs w:val="24"/>
          <w:u w:color="000000" w:themeColor="text1"/>
        </w:rPr>
        <w:tab/>
      </w:r>
      <w:r w:rsidRPr="000D0519">
        <w:rPr>
          <w:color w:val="000000" w:themeColor="text1"/>
          <w:szCs w:val="24"/>
          <w:u w:color="000000" w:themeColor="text1"/>
        </w:rPr>
        <w:tab/>
        <w:t>(c)</w:t>
      </w:r>
      <w:r w:rsidRPr="000D0519">
        <w:rPr>
          <w:color w:val="000000" w:themeColor="text1"/>
          <w:szCs w:val="24"/>
          <w:u w:color="000000" w:themeColor="text1"/>
        </w:rPr>
        <w:tab/>
      </w:r>
      <w:r w:rsidRPr="000D0519">
        <w:rPr>
          <w:rFonts w:eastAsia="Times New Roman"/>
          <w:color w:val="000000" w:themeColor="text1"/>
          <w:szCs w:val="24"/>
          <w:u w:color="000000" w:themeColor="text1"/>
        </w:rPr>
        <w:t>a potentially destructive and life-threatening</w:t>
      </w:r>
      <w:r w:rsidRPr="000D0519">
        <w:rPr>
          <w:rFonts w:eastAsia="Times New Roman"/>
          <w:color w:val="000000" w:themeColor="text1"/>
          <w:u w:color="000000" w:themeColor="text1"/>
        </w:rPr>
        <w:t xml:space="preserve"> </w:t>
      </w:r>
      <w:r w:rsidRPr="000D0519">
        <w:rPr>
          <w:rFonts w:eastAsia="Times New Roman"/>
          <w:color w:val="000000" w:themeColor="text1"/>
          <w:szCs w:val="24"/>
          <w:u w:color="000000" w:themeColor="text1"/>
        </w:rPr>
        <w:t xml:space="preserve">major flood, storm, nuclear accident, or other natural or man-made calamity affecting the health, welfare, and safety of the lives and property of the people </w:t>
      </w:r>
      <w:r w:rsidRPr="000D0519">
        <w:rPr>
          <w:color w:val="000000" w:themeColor="text1"/>
          <w:szCs w:val="24"/>
          <w:u w:color="000000" w:themeColor="text1"/>
        </w:rPr>
        <w:t>of the State; or</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0D0519">
        <w:rPr>
          <w:color w:val="000000" w:themeColor="text1"/>
          <w:szCs w:val="24"/>
          <w:u w:color="000000" w:themeColor="text1"/>
        </w:rPr>
        <w:tab/>
      </w:r>
      <w:r w:rsidRPr="000D0519">
        <w:rPr>
          <w:color w:val="000000" w:themeColor="text1"/>
          <w:szCs w:val="24"/>
          <w:u w:color="000000" w:themeColor="text1"/>
        </w:rPr>
        <w:tab/>
      </w:r>
      <w:r w:rsidRPr="000D0519">
        <w:rPr>
          <w:color w:val="000000" w:themeColor="text1"/>
          <w:szCs w:val="24"/>
          <w:u w:color="000000" w:themeColor="text1"/>
        </w:rPr>
        <w:tab/>
        <w:t>(d)</w:t>
      </w:r>
      <w:r w:rsidRPr="000D0519">
        <w:rPr>
          <w:color w:val="000000" w:themeColor="text1"/>
          <w:szCs w:val="24"/>
          <w:u w:color="000000" w:themeColor="text1"/>
        </w:rPr>
        <w:tab/>
      </w:r>
      <w:r w:rsidRPr="000D0519">
        <w:rPr>
          <w:rFonts w:eastAsia="Times New Roman"/>
          <w:color w:val="000000" w:themeColor="text1"/>
          <w:szCs w:val="24"/>
          <w:u w:color="000000" w:themeColor="text1"/>
        </w:rPr>
        <w:t xml:space="preserve">the necessary authority to conduct the affairs of the Office of the </w:t>
      </w:r>
      <w:r w:rsidRPr="000D0519">
        <w:rPr>
          <w:rFonts w:eastAsia="Times New Roman"/>
          <w:bCs/>
          <w:color w:val="000000" w:themeColor="text1"/>
          <w:szCs w:val="24"/>
          <w:u w:color="000000" w:themeColor="text1"/>
        </w:rPr>
        <w:t>Governor that may be lost or abandoned during</w:t>
      </w:r>
      <w:r w:rsidRPr="000D0519">
        <w:rPr>
          <w:rFonts w:eastAsia="Times New Roman"/>
          <w:color w:val="000000" w:themeColor="text1"/>
          <w:szCs w:val="24"/>
          <w:u w:color="000000" w:themeColor="text1"/>
        </w:rPr>
        <w:t xml:space="preserve">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a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including, but not limited to, the:</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t>(i)</w:t>
      </w:r>
      <w:r w:rsidRPr="000D0519">
        <w:rPr>
          <w:rFonts w:eastAsia="Times New Roman"/>
          <w:bCs/>
          <w:color w:val="000000" w:themeColor="text1"/>
          <w:szCs w:val="24"/>
          <w:u w:color="000000" w:themeColor="text1"/>
        </w:rPr>
        <w:tab/>
        <w:t>veto power, and</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t>(ii)</w:t>
      </w:r>
      <w:r w:rsidRPr="000D0519">
        <w:rPr>
          <w:rFonts w:eastAsia="Times New Roman"/>
          <w:bCs/>
          <w:color w:val="000000" w:themeColor="text1"/>
          <w:szCs w:val="24"/>
          <w:u w:color="000000" w:themeColor="text1"/>
        </w:rPr>
        <w:tab/>
      </w:r>
      <w:r w:rsidRPr="000D0519">
        <w:rPr>
          <w:rFonts w:eastAsia="Times New Roman"/>
          <w:color w:val="000000" w:themeColor="text1"/>
          <w:szCs w:val="24"/>
          <w:u w:color="000000" w:themeColor="text1"/>
        </w:rPr>
        <w:t>authority to execute documents concerning extradition of fugitives from justice, and</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(iii)</w:t>
      </w:r>
      <w:r w:rsidRPr="000D0519">
        <w:rPr>
          <w:rFonts w:eastAsia="Times New Roman"/>
          <w:color w:val="000000" w:themeColor="text1"/>
          <w:szCs w:val="24"/>
          <w:u w:color="000000" w:themeColor="text1"/>
        </w:rPr>
        <w:tab/>
        <w:t>authority to execute documents and exercise duties essential to the administration of criminal justice.</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(2)</w:t>
      </w:r>
      <w:r w:rsidRPr="000D0519">
        <w:rPr>
          <w:rFonts w:eastAsia="Times New Roman"/>
          <w:color w:val="000000" w:themeColor="text1"/>
          <w:szCs w:val="24"/>
          <w:u w:color="000000" w:themeColor="text1"/>
        </w:rPr>
        <w:tab/>
        <w:t>‘Full authority’ means the ability to exercise the Governor’s powers, responsibilities, obligations, and authorities as provided by general law and in the State Constitution without assuming the office of the Governor.</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(3)</w:t>
      </w:r>
      <w:r w:rsidRPr="000D0519">
        <w:rPr>
          <w:rFonts w:eastAsia="Times New Roman"/>
          <w:color w:val="000000" w:themeColor="text1"/>
          <w:szCs w:val="24"/>
          <w:u w:color="000000" w:themeColor="text1"/>
        </w:rPr>
        <w:tab/>
        <w:t>‘Temporary absence’ means that:</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the Governor is outside the boundaries of the State; and</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(b)</w:t>
      </w:r>
      <w:r w:rsidRPr="000D0519">
        <w:rPr>
          <w:rFonts w:eastAsia="Times New Roman"/>
          <w:color w:val="000000" w:themeColor="text1"/>
          <w:szCs w:val="24"/>
          <w:u w:color="000000" w:themeColor="text1"/>
        </w:rPr>
        <w:tab/>
        <w:t>within a twelve-hour period, either by communicating in person or by telecommunications device, the Governor is not available or is unable to respond to:</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w:t>
      </w:r>
      <w:r w:rsidRPr="000D0519">
        <w:rPr>
          <w:rFonts w:eastAsia="Times New Roman"/>
          <w:color w:val="000000" w:themeColor="text1"/>
          <w:szCs w:val="24"/>
          <w:u w:color="000000" w:themeColor="text1"/>
        </w:rPr>
        <w:tab/>
        <w:t>his staff, or</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(ii)</w:t>
      </w:r>
      <w:r w:rsidRPr="000D0519">
        <w:rPr>
          <w:rFonts w:eastAsia="Times New Roman"/>
          <w:color w:val="000000" w:themeColor="text1"/>
          <w:szCs w:val="24"/>
          <w:u w:color="000000" w:themeColor="text1"/>
        </w:rPr>
        <w:tab/>
        <w:t>the Director of the South Carolina Law Enforcement Division or his designee.</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rFonts w:eastAsia="Times New Roman"/>
          <w:color w:val="000000" w:themeColor="text1"/>
          <w:szCs w:val="24"/>
          <w:u w:color="000000" w:themeColor="text1"/>
        </w:rPr>
        <w:tab/>
        <w:t>(B)</w:t>
      </w:r>
      <w:r w:rsidRPr="000D0519">
        <w:rPr>
          <w:rFonts w:eastAsia="Times New Roman"/>
          <w:color w:val="000000" w:themeColor="text1"/>
          <w:szCs w:val="24"/>
          <w:u w:color="000000" w:themeColor="text1"/>
        </w:rPr>
        <w:tab/>
        <w:t xml:space="preserve">As provided in Article IV, Section 11 of the South Carolina Constitution, </w:t>
      </w:r>
      <w:r w:rsidRPr="000D0519">
        <w:rPr>
          <w:color w:val="000000" w:themeColor="text1"/>
          <w:szCs w:val="24"/>
          <w:u w:color="000000" w:themeColor="text1"/>
        </w:rPr>
        <w:t>in the event of the temporary absence of the Governor from the State, the Lieutenant Governor has full authority to act in an emergency.</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color w:val="000000" w:themeColor="text1"/>
          <w:szCs w:val="24"/>
          <w:u w:color="000000" w:themeColor="text1"/>
        </w:rPr>
        <w:tab/>
        <w:t>(C)</w:t>
      </w:r>
      <w:r w:rsidRPr="000D0519">
        <w:rPr>
          <w:color w:val="000000" w:themeColor="text1"/>
          <w:szCs w:val="24"/>
          <w:u w:color="000000" w:themeColor="text1"/>
        </w:rPr>
        <w:tab/>
        <w:t xml:space="preserve">Prior to assuming full authority to act in an emergency, the Lieutenant Governor must verify with the Governor’s staff and the Director of the </w:t>
      </w:r>
      <w:r w:rsidRPr="000D0519">
        <w:rPr>
          <w:rFonts w:eastAsia="Times New Roman"/>
          <w:color w:val="000000" w:themeColor="text1"/>
          <w:szCs w:val="24"/>
          <w:u w:color="000000" w:themeColor="text1"/>
        </w:rPr>
        <w:t>South Carolina Law Enforcement Division or his designee that the Governor has not been in communication for a period of twelve or more hours and that attempts to contact the Governor have not received a response or indication of the Governor’s whereabouts or availability.</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0519">
        <w:rPr>
          <w:rFonts w:eastAsia="Times New Roman"/>
          <w:color w:val="000000" w:themeColor="text1"/>
          <w:szCs w:val="24"/>
          <w:u w:color="000000" w:themeColor="text1"/>
        </w:rPr>
        <w:tab/>
        <w:t>(D)</w:t>
      </w:r>
      <w:r w:rsidRPr="000D0519">
        <w:rPr>
          <w:rFonts w:eastAsia="Times New Roman"/>
          <w:color w:val="000000" w:themeColor="text1"/>
          <w:szCs w:val="24"/>
          <w:u w:color="000000" w:themeColor="text1"/>
        </w:rPr>
        <w:tab/>
        <w:t>After receiving this verification, th</w:t>
      </w:r>
      <w:r w:rsidRPr="000D0519">
        <w:rPr>
          <w:color w:val="000000" w:themeColor="text1"/>
          <w:u w:color="000000" w:themeColor="text1"/>
        </w:rPr>
        <w:t>e Lieutenant Governor must immediately file with the Office of the Secretary of State a proclamation declaring his full authority to act in the emergency.  The proclamation is effective upon issuance and remains in full force and effect as provided by general law and the State Constitution.</w:t>
      </w:r>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u w:color="000000" w:themeColor="text1"/>
        </w:rPr>
        <w:tab/>
        <w:t>(E)</w:t>
      </w:r>
      <w:r w:rsidRPr="000D0519">
        <w:rPr>
          <w:color w:val="000000" w:themeColor="text1"/>
          <w:u w:color="000000" w:themeColor="text1"/>
        </w:rPr>
        <w:tab/>
        <w:t>T</w:t>
      </w:r>
      <w:r w:rsidRPr="000D0519">
        <w:rPr>
          <w:rFonts w:eastAsia="Times New Roman"/>
          <w:color w:val="000000" w:themeColor="text1"/>
          <w:szCs w:val="24"/>
          <w:u w:color="000000" w:themeColor="text1"/>
        </w:rPr>
        <w:t xml:space="preserve">he powers that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may exercise pursuant to Article IV, Section 11 of the South Carolina Constitution and this section in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cannot be restricted prior to the departure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from this State.  The discretion of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includes all of the gubernatorial powers which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himself would possess were he present, limited by the terms of the constitutional provision itself, which require only that those powers may be exercised by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during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and that those powers also must be of an emergency nature.</w:t>
      </w:r>
      <w:r w:rsidRPr="000D0519">
        <w:rPr>
          <w:color w:val="000000" w:themeColor="text1"/>
          <w:szCs w:val="24"/>
          <w:u w:color="000000" w:themeColor="text1"/>
        </w:rPr>
        <w:t>”</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2CE0" w:rsidRPr="00803C55" w:rsidRDefault="00130BB6" w:rsidP="0080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0D0519">
        <w:rPr>
          <w:color w:val="000000" w:themeColor="text1"/>
          <w:spacing w:val="-2"/>
          <w:u w:color="000000" w:themeColor="text1"/>
        </w:rPr>
        <w:t>SECTION</w:t>
      </w:r>
      <w:r w:rsidRPr="000D0519">
        <w:rPr>
          <w:color w:val="000000" w:themeColor="text1"/>
          <w:spacing w:val="-2"/>
          <w:u w:color="000000" w:themeColor="text1"/>
        </w:rPr>
        <w:tab/>
        <w:t>3.</w:t>
      </w:r>
      <w:r w:rsidRPr="000D0519">
        <w:rPr>
          <w:color w:val="000000" w:themeColor="text1"/>
          <w:spacing w:val="-2"/>
          <w:u w:color="000000" w:themeColor="text1"/>
        </w:rPr>
        <w:tab/>
        <w:t>This act shall take effect upon approval by the Governor.</w:t>
      </w:r>
    </w:p>
    <w:p w:rsidR="006A2E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A2E67" w:rsidRDefault="006A2E67" w:rsidP="002D03C8">
      <w:pPr>
        <w:suppressAutoHyphens/>
        <w:jc w:val="both"/>
        <w:rPr>
          <w:rFonts w:eastAsia="Times New Roman"/>
        </w:rPr>
      </w:pPr>
    </w:p>
    <w:sectPr w:rsidR="006A2E67" w:rsidSect="002D03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C55" w:rsidRDefault="00803C55" w:rsidP="00522CE0">
      <w:r>
        <w:separator/>
      </w:r>
    </w:p>
  </w:endnote>
  <w:endnote w:type="continuationSeparator" w:id="0">
    <w:p w:rsidR="00803C55" w:rsidRDefault="00803C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96AAC5-B29D-4073-879F-C86273B8D82F}"/>
    <w:embedBold r:id="rId2" w:fontKey="{93613EED-9302-4699-9976-F3743DDF40BE}"/>
  </w:font>
  <w:font w:name="Calibri">
    <w:panose1 w:val="020F0502020204030204"/>
    <w:charset w:val="00"/>
    <w:family w:val="swiss"/>
    <w:pitch w:val="variable"/>
    <w:sig w:usb0="E10002FF" w:usb1="4000ACFF" w:usb2="00000009" w:usb3="00000000" w:csb0="0000019F" w:csb1="00000000"/>
    <w:embedRegular r:id="rId3" w:fontKey="{B8CA4609-A4C2-4244-A656-A8CCDFD7DBDA}"/>
    <w:embedBold r:id="rId4" w:fontKey="{B6C1AB58-EF07-4753-88BC-B53E07C48FF6}"/>
  </w:font>
  <w:font w:name="Cambria">
    <w:panose1 w:val="02040503050406030204"/>
    <w:charset w:val="00"/>
    <w:family w:val="roman"/>
    <w:pitch w:val="variable"/>
    <w:sig w:usb0="E00002FF" w:usb1="400004FF" w:usb2="00000000" w:usb3="00000000" w:csb0="0000019F" w:csb1="00000000"/>
    <w:embedRegular r:id="rId5" w:fontKey="{0B27E0D2-ACE7-4B72-B147-5D7C52D5C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3C8" w:rsidRPr="006A2E67" w:rsidRDefault="002D03C8" w:rsidP="006A2E67">
    <w:pPr>
      <w:pStyle w:val="Footer"/>
      <w:tabs>
        <w:tab w:val="clear" w:pos="4680"/>
        <w:tab w:val="clear" w:pos="9360"/>
        <w:tab w:val="center" w:pos="2995"/>
      </w:tabs>
      <w:spacing w:before="120"/>
    </w:pPr>
    <w:r>
      <w:t>[28]</w:t>
    </w:r>
    <w:r>
      <w:tab/>
    </w:r>
    <w:r w:rsidR="00AE408E">
      <w:fldChar w:fldCharType="begin"/>
    </w:r>
    <w:r w:rsidR="00AE408E">
      <w:instrText xml:space="preserve"> PAGE  \* MERGEFORMAT </w:instrText>
    </w:r>
    <w:r w:rsidR="00AE408E">
      <w:fldChar w:fldCharType="separate"/>
    </w:r>
    <w:r w:rsidR="00AE408E">
      <w:rPr>
        <w:noProof/>
      </w:rPr>
      <w:t>1</w:t>
    </w:r>
    <w:r w:rsidR="00AE40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C55" w:rsidRDefault="00803C55" w:rsidP="00522CE0">
      <w:r>
        <w:separator/>
      </w:r>
    </w:p>
  </w:footnote>
  <w:footnote w:type="continuationSeparator" w:id="0">
    <w:p w:rsidR="00803C55" w:rsidRDefault="00803C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2"/>
  </w:compat>
  <w:docVars>
    <w:docVar w:name="clipname" w:val="JUD0031.PB"/>
    <w:docVar w:name="CoverAttorneyInitials" w:val="PB"/>
    <w:docVar w:name="CoverAttorneyLastName" w:val="Benson"/>
    <w:docVar w:name="CoverBillType" w:val="b"/>
    <w:docVar w:name="DraftFileName" w:val="JUD0031.PB.DOCX"/>
    <w:docVar w:name="DraftStenoName" w:val="Craft"/>
    <w:docVar w:name="dvBillNumber" w:val="28"/>
    <w:docVar w:name="dvBillNumberPrefix" w:val="S. "/>
    <w:docVar w:name="dvOriginalBody" w:val="Senate"/>
    <w:docVar w:name="fulldraftpath" w:val="L:\S-JUD\BILLS\McConnell\JUD0031.PB.DOCX"/>
    <w:docVar w:name="NameofBody" w:val="S"/>
    <w:docVar w:name="SenatorFolderName" w:val="McConnell"/>
    <w:docVar w:name="VGROUP2" w:val="S-JUD"/>
  </w:docVars>
  <w:rsids>
    <w:rsidRoot w:val="00F47140"/>
    <w:rsid w:val="000141EB"/>
    <w:rsid w:val="000253B5"/>
    <w:rsid w:val="00042AC1"/>
    <w:rsid w:val="00046516"/>
    <w:rsid w:val="000A4D08"/>
    <w:rsid w:val="000A6988"/>
    <w:rsid w:val="000B0720"/>
    <w:rsid w:val="000B5EAF"/>
    <w:rsid w:val="000B645E"/>
    <w:rsid w:val="000E473B"/>
    <w:rsid w:val="000F002B"/>
    <w:rsid w:val="00107C3D"/>
    <w:rsid w:val="00126995"/>
    <w:rsid w:val="00130BB6"/>
    <w:rsid w:val="0016543B"/>
    <w:rsid w:val="00170561"/>
    <w:rsid w:val="00186AC9"/>
    <w:rsid w:val="00190F47"/>
    <w:rsid w:val="00197DF1"/>
    <w:rsid w:val="001B3DD9"/>
    <w:rsid w:val="001D3BAC"/>
    <w:rsid w:val="001D6F74"/>
    <w:rsid w:val="00206D3D"/>
    <w:rsid w:val="0021607A"/>
    <w:rsid w:val="0024519E"/>
    <w:rsid w:val="00245C4E"/>
    <w:rsid w:val="00273DAC"/>
    <w:rsid w:val="002A68C2"/>
    <w:rsid w:val="002C5896"/>
    <w:rsid w:val="002D0173"/>
    <w:rsid w:val="002D03C8"/>
    <w:rsid w:val="00307C2B"/>
    <w:rsid w:val="0031409E"/>
    <w:rsid w:val="00333DF1"/>
    <w:rsid w:val="0033541C"/>
    <w:rsid w:val="00364389"/>
    <w:rsid w:val="003D6A5D"/>
    <w:rsid w:val="003D6E2B"/>
    <w:rsid w:val="003E0DF8"/>
    <w:rsid w:val="003E7597"/>
    <w:rsid w:val="00402E01"/>
    <w:rsid w:val="00412C9E"/>
    <w:rsid w:val="00450668"/>
    <w:rsid w:val="00452CD7"/>
    <w:rsid w:val="00477696"/>
    <w:rsid w:val="004952FA"/>
    <w:rsid w:val="004A592F"/>
    <w:rsid w:val="004B6A22"/>
    <w:rsid w:val="004D168C"/>
    <w:rsid w:val="004D17F9"/>
    <w:rsid w:val="004D6923"/>
    <w:rsid w:val="004D7F37"/>
    <w:rsid w:val="004E219E"/>
    <w:rsid w:val="0050229F"/>
    <w:rsid w:val="0051584C"/>
    <w:rsid w:val="00520D79"/>
    <w:rsid w:val="00522CE0"/>
    <w:rsid w:val="00541FF6"/>
    <w:rsid w:val="00565148"/>
    <w:rsid w:val="00581497"/>
    <w:rsid w:val="00586B30"/>
    <w:rsid w:val="0058748C"/>
    <w:rsid w:val="00593361"/>
    <w:rsid w:val="005A434E"/>
    <w:rsid w:val="005A5017"/>
    <w:rsid w:val="005A648C"/>
    <w:rsid w:val="005C2471"/>
    <w:rsid w:val="005E4133"/>
    <w:rsid w:val="005F15E4"/>
    <w:rsid w:val="00606D23"/>
    <w:rsid w:val="00641A16"/>
    <w:rsid w:val="00642FD8"/>
    <w:rsid w:val="006431BA"/>
    <w:rsid w:val="006A2E67"/>
    <w:rsid w:val="006B4B3C"/>
    <w:rsid w:val="006C74EA"/>
    <w:rsid w:val="006E0268"/>
    <w:rsid w:val="0071706F"/>
    <w:rsid w:val="00720D40"/>
    <w:rsid w:val="007318D4"/>
    <w:rsid w:val="00746551"/>
    <w:rsid w:val="00765784"/>
    <w:rsid w:val="007A4390"/>
    <w:rsid w:val="007C65B0"/>
    <w:rsid w:val="007E3B8F"/>
    <w:rsid w:val="007E5CB7"/>
    <w:rsid w:val="00803C55"/>
    <w:rsid w:val="008314D2"/>
    <w:rsid w:val="008747A5"/>
    <w:rsid w:val="008804AE"/>
    <w:rsid w:val="00891548"/>
    <w:rsid w:val="008B2F42"/>
    <w:rsid w:val="008E185F"/>
    <w:rsid w:val="008E5870"/>
    <w:rsid w:val="008F023B"/>
    <w:rsid w:val="008F7524"/>
    <w:rsid w:val="00904E16"/>
    <w:rsid w:val="00912EDB"/>
    <w:rsid w:val="00927C62"/>
    <w:rsid w:val="00931A96"/>
    <w:rsid w:val="00983951"/>
    <w:rsid w:val="00984124"/>
    <w:rsid w:val="00984640"/>
    <w:rsid w:val="00995C37"/>
    <w:rsid w:val="009C118A"/>
    <w:rsid w:val="009C687F"/>
    <w:rsid w:val="00A02011"/>
    <w:rsid w:val="00A35165"/>
    <w:rsid w:val="00A4011E"/>
    <w:rsid w:val="00A86015"/>
    <w:rsid w:val="00AE408E"/>
    <w:rsid w:val="00AE59C8"/>
    <w:rsid w:val="00B030B6"/>
    <w:rsid w:val="00B10098"/>
    <w:rsid w:val="00B10E10"/>
    <w:rsid w:val="00B35389"/>
    <w:rsid w:val="00B450FF"/>
    <w:rsid w:val="00B537D8"/>
    <w:rsid w:val="00B945C5"/>
    <w:rsid w:val="00BA20EA"/>
    <w:rsid w:val="00BB3FDC"/>
    <w:rsid w:val="00BC0A56"/>
    <w:rsid w:val="00C23348"/>
    <w:rsid w:val="00C61304"/>
    <w:rsid w:val="00C6454A"/>
    <w:rsid w:val="00C74052"/>
    <w:rsid w:val="00CB187A"/>
    <w:rsid w:val="00CB6BA1"/>
    <w:rsid w:val="00CD63D9"/>
    <w:rsid w:val="00CD7C71"/>
    <w:rsid w:val="00CE31DF"/>
    <w:rsid w:val="00D1088B"/>
    <w:rsid w:val="00D156D2"/>
    <w:rsid w:val="00D77EC0"/>
    <w:rsid w:val="00D86943"/>
    <w:rsid w:val="00DA47B9"/>
    <w:rsid w:val="00DC0C5F"/>
    <w:rsid w:val="00E55043"/>
    <w:rsid w:val="00E677A1"/>
    <w:rsid w:val="00E70A60"/>
    <w:rsid w:val="00E91E2F"/>
    <w:rsid w:val="00EA07D5"/>
    <w:rsid w:val="00EA3546"/>
    <w:rsid w:val="00EB1AAC"/>
    <w:rsid w:val="00EB47AE"/>
    <w:rsid w:val="00EC34E1"/>
    <w:rsid w:val="00ED0AE1"/>
    <w:rsid w:val="00ED7728"/>
    <w:rsid w:val="00F0234A"/>
    <w:rsid w:val="00F32367"/>
    <w:rsid w:val="00F47140"/>
    <w:rsid w:val="00F52959"/>
    <w:rsid w:val="00F532D4"/>
    <w:rsid w:val="00F55884"/>
    <w:rsid w:val="00F655D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15:docId w15:val="{CDC70D1E-6DB6-4959-9655-C6E530ECB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D03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8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769</Words>
  <Characters>4149</Characters>
  <Application>Microsoft Office Word</Application>
  <DocSecurity>4</DocSecurity>
  <Lines>131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28: Governor - South Carolina Legislature Online</dc:title>
  <dc:subject/>
  <dc:creator>SusanCraft</dc:creator>
  <cp:keywords/>
  <dc:description/>
  <cp:lastModifiedBy>N Cumfer</cp:lastModifiedBy>
  <cp:revision>2</cp:revision>
  <cp:lastPrinted>2010-11-08T16:59:00Z</cp:lastPrinted>
  <dcterms:created xsi:type="dcterms:W3CDTF">2014-11-21T20:24:00Z</dcterms:created>
  <dcterms:modified xsi:type="dcterms:W3CDTF">2014-11-21T20:24:00Z</dcterms:modified>
</cp:coreProperties>
</file>