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E05" w:rsidRPr="00401E05" w:rsidRDefault="00401E05"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401E05">
        <w:rPr>
          <w:rFonts w:cs="Times New Roman"/>
          <w:b/>
        </w:rPr>
        <w:t>South Carolina General Assembly</w:t>
      </w:r>
    </w:p>
    <w:p w:rsidR="00401E05" w:rsidRPr="00401E05" w:rsidRDefault="00401E05"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1E05">
        <w:rPr>
          <w:rFonts w:cs="Times New Roman"/>
        </w:rPr>
        <w:t>119th Session, 2011-2012</w:t>
      </w:r>
    </w:p>
    <w:p w:rsidR="00401E05" w:rsidRPr="00401E05" w:rsidRDefault="00401E05"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E05" w:rsidRPr="00401E05" w:rsidRDefault="00EC7BF0"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A70, R104, S30</w:t>
      </w:r>
    </w:p>
    <w:p w:rsidR="00401E05" w:rsidRPr="00401E05" w:rsidRDefault="00401E05"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01E05" w:rsidRPr="00401E05" w:rsidRDefault="00401E05"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E05">
        <w:rPr>
          <w:rFonts w:cs="Times New Roman"/>
          <w:b/>
        </w:rPr>
        <w:t>STATUS INFORMATION</w:t>
      </w:r>
    </w:p>
    <w:p w:rsidR="00401E05" w:rsidRPr="00401E05" w:rsidRDefault="00401E05"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E05" w:rsidRPr="00401E05" w:rsidRDefault="00401E05"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E05">
        <w:rPr>
          <w:rFonts w:cs="Times New Roman"/>
        </w:rPr>
        <w:t>General Bill</w:t>
      </w:r>
    </w:p>
    <w:p w:rsidR="00401E05" w:rsidRPr="00401E05" w:rsidRDefault="00401E05"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E05">
        <w:rPr>
          <w:rFonts w:cs="Times New Roman"/>
        </w:rPr>
        <w:t>Sponsors: Senators McConnell, Leventis and Ford</w:t>
      </w:r>
    </w:p>
    <w:p w:rsidR="00401E05" w:rsidRPr="00401E05" w:rsidRDefault="00401E05"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E05">
        <w:rPr>
          <w:rFonts w:cs="Times New Roman"/>
        </w:rPr>
        <w:t>Document Path: l:\s-jud\bills\mcconnell\jud0021.jjg.docx</w:t>
      </w:r>
    </w:p>
    <w:p w:rsidR="00401E05" w:rsidRPr="00401E05" w:rsidRDefault="00401E05"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E05">
        <w:rPr>
          <w:rFonts w:cs="Times New Roman"/>
        </w:rPr>
        <w:t>Companion/Similar bill(s): 3606</w:t>
      </w:r>
    </w:p>
    <w:p w:rsidR="00401E05" w:rsidRPr="00401E05" w:rsidRDefault="00401E05"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B706C" w:rsidRDefault="00FB706C"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11, 2011</w:t>
      </w:r>
    </w:p>
    <w:p w:rsidR="00FB706C" w:rsidRDefault="00FB706C"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6, 2011</w:t>
      </w:r>
    </w:p>
    <w:p w:rsidR="00FB706C" w:rsidRDefault="00FB706C"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22, 2011</w:t>
      </w:r>
    </w:p>
    <w:p w:rsidR="00FB706C" w:rsidRDefault="00FB706C"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22, 2011</w:t>
      </w:r>
    </w:p>
    <w:p w:rsidR="00FB706C" w:rsidRDefault="00FB706C"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28, 2011, Signed</w:t>
      </w:r>
    </w:p>
    <w:p w:rsidR="00FB706C" w:rsidRDefault="00FB706C"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E05" w:rsidRPr="00401E05" w:rsidRDefault="00401E05"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E05">
        <w:rPr>
          <w:rFonts w:cs="Times New Roman"/>
        </w:rPr>
        <w:t>Summary: Magistrates' powers and duties</w:t>
      </w:r>
    </w:p>
    <w:p w:rsidR="00401E05" w:rsidRPr="00401E05" w:rsidRDefault="00401E05"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E05" w:rsidRPr="00401E05" w:rsidRDefault="00401E05"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E05" w:rsidRPr="00401E05" w:rsidRDefault="00401E05" w:rsidP="00401E05">
      <w:pPr>
        <w:widowControl w:val="0"/>
        <w:tabs>
          <w:tab w:val="center" w:pos="590"/>
          <w:tab w:val="center" w:pos="1440"/>
          <w:tab w:val="left" w:pos="1872"/>
          <w:tab w:val="left" w:pos="9187"/>
        </w:tabs>
        <w:rPr>
          <w:rFonts w:cs="Times New Roman"/>
        </w:rPr>
      </w:pPr>
      <w:r w:rsidRPr="00401E05">
        <w:rPr>
          <w:rFonts w:cs="Times New Roman"/>
          <w:b/>
        </w:rPr>
        <w:t>HISTORY OF LEGISLATIVE ACTIONS</w:t>
      </w:r>
    </w:p>
    <w:p w:rsidR="00401E05" w:rsidRPr="00401E05" w:rsidRDefault="00401E05" w:rsidP="00401E05">
      <w:pPr>
        <w:widowControl w:val="0"/>
        <w:tabs>
          <w:tab w:val="center" w:pos="590"/>
          <w:tab w:val="center" w:pos="1440"/>
          <w:tab w:val="left" w:pos="1872"/>
          <w:tab w:val="left" w:pos="9187"/>
        </w:tabs>
        <w:rPr>
          <w:rFonts w:cs="Times New Roman"/>
        </w:rPr>
      </w:pPr>
    </w:p>
    <w:p w:rsidR="00401E05" w:rsidRPr="00401E05" w:rsidRDefault="00401E05" w:rsidP="00401E05">
      <w:pPr>
        <w:widowControl w:val="0"/>
        <w:tabs>
          <w:tab w:val="center" w:pos="590"/>
          <w:tab w:val="center" w:pos="1440"/>
          <w:tab w:val="left" w:pos="1872"/>
          <w:tab w:val="left" w:pos="9187"/>
        </w:tabs>
        <w:rPr>
          <w:rFonts w:cs="Times New Roman"/>
        </w:rPr>
      </w:pPr>
      <w:r w:rsidRPr="00401E05">
        <w:rPr>
          <w:rFonts w:cs="Times New Roman"/>
          <w:u w:val="single"/>
        </w:rPr>
        <w:tab/>
        <w:t>Date</w:t>
      </w:r>
      <w:r w:rsidRPr="00401E05">
        <w:rPr>
          <w:rFonts w:cs="Times New Roman"/>
          <w:u w:val="single"/>
        </w:rPr>
        <w:tab/>
        <w:t>Body</w:t>
      </w:r>
      <w:r w:rsidRPr="00401E05">
        <w:rPr>
          <w:rFonts w:cs="Times New Roman"/>
          <w:u w:val="single"/>
        </w:rPr>
        <w:tab/>
        <w:t>Action Description with journal page number</w:t>
      </w:r>
      <w:r w:rsidRPr="00401E05">
        <w:rPr>
          <w:rFonts w:cs="Times New Roman"/>
          <w:u w:val="single"/>
        </w:rPr>
        <w:tab/>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5A1B77">
        <w:rPr>
          <w:rFonts w:cs="Times New Roman"/>
        </w:rPr>
        <w:t>Prefiled</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5A1B77">
        <w:rPr>
          <w:rFonts w:cs="Times New Roman"/>
        </w:rPr>
        <w:t xml:space="preserve">Referred to Committee on </w:t>
      </w:r>
      <w:r w:rsidRPr="005A1B77">
        <w:rPr>
          <w:rFonts w:cs="Times New Roman"/>
          <w:b/>
        </w:rPr>
        <w:t>Judiciary</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5A1B77">
        <w:rPr>
          <w:rFonts w:cs="Times New Roman"/>
        </w:rPr>
        <w:t>Introduced and read first time (</w:t>
      </w:r>
      <w:hyperlink r:id="rId6" w:history="1">
        <w:r w:rsidRPr="005A1B77">
          <w:rPr>
            <w:rStyle w:val="Hyperlink"/>
            <w:rFonts w:cs="Times New Roman"/>
          </w:rPr>
          <w:t>Senate Journal</w:t>
        </w:r>
        <w:r w:rsidRPr="005A1B77">
          <w:rPr>
            <w:rStyle w:val="Hyperlink"/>
            <w:rFonts w:cs="Times New Roman"/>
          </w:rPr>
          <w:noBreakHyphen/>
          <w:t>page 20</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5A1B77">
        <w:rPr>
          <w:rFonts w:cs="Times New Roman"/>
        </w:rPr>
        <w:t>Ref</w:t>
      </w:r>
      <w:r>
        <w:rPr>
          <w:rFonts w:cs="Times New Roman"/>
        </w:rPr>
        <w:t xml:space="preserve">erred to Committee on </w:t>
      </w:r>
      <w:r w:rsidRPr="005A1B77">
        <w:rPr>
          <w:rFonts w:cs="Times New Roman"/>
          <w:b/>
        </w:rPr>
        <w:t>Judiciary</w:t>
      </w:r>
      <w:r>
        <w:rPr>
          <w:rFonts w:cs="Times New Roman"/>
        </w:rPr>
        <w:t xml:space="preserve"> </w:t>
      </w:r>
      <w:r w:rsidRPr="005A1B77">
        <w:rPr>
          <w:rFonts w:cs="Times New Roman"/>
        </w:rPr>
        <w:t>(</w:t>
      </w:r>
      <w:hyperlink r:id="rId7" w:history="1">
        <w:r w:rsidRPr="005A1B77">
          <w:rPr>
            <w:rStyle w:val="Hyperlink"/>
            <w:rFonts w:cs="Times New Roman"/>
          </w:rPr>
          <w:t>Senate Journal</w:t>
        </w:r>
        <w:r w:rsidRPr="005A1B77">
          <w:rPr>
            <w:rStyle w:val="Hyperlink"/>
            <w:rFonts w:cs="Times New Roman"/>
          </w:rPr>
          <w:noBreakHyphen/>
          <w:t>page 20</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lastRenderedPageBreak/>
        <w:tab/>
        <w:t>2/23/2011</w:t>
      </w:r>
      <w:r>
        <w:rPr>
          <w:rFonts w:cs="Times New Roman"/>
        </w:rPr>
        <w:tab/>
        <w:t>Senate</w:t>
      </w:r>
      <w:r>
        <w:rPr>
          <w:rFonts w:cs="Times New Roman"/>
        </w:rPr>
        <w:tab/>
      </w:r>
      <w:r w:rsidRPr="005A1B77">
        <w:rPr>
          <w:rFonts w:cs="Times New Roman"/>
        </w:rPr>
        <w:t>Referred to Subcommittee: Hutto (ch), Rose, Shoopman</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5A1B77">
        <w:rPr>
          <w:rFonts w:cs="Times New Roman"/>
        </w:rPr>
        <w:t>Committee r</w:t>
      </w:r>
      <w:r>
        <w:rPr>
          <w:rFonts w:cs="Times New Roman"/>
        </w:rPr>
        <w:t xml:space="preserve">eport: Favorable with amendment </w:t>
      </w:r>
      <w:r w:rsidRPr="005A1B77">
        <w:rPr>
          <w:rFonts w:cs="Times New Roman"/>
          <w:b/>
        </w:rPr>
        <w:t>Judiciary</w:t>
      </w:r>
      <w:r w:rsidRPr="005A1B77">
        <w:rPr>
          <w:rFonts w:cs="Times New Roman"/>
        </w:rPr>
        <w:t xml:space="preserve"> (</w:t>
      </w:r>
      <w:hyperlink r:id="rId8" w:history="1">
        <w:r w:rsidRPr="005A1B77">
          <w:rPr>
            <w:rStyle w:val="Hyperlink"/>
            <w:rFonts w:cs="Times New Roman"/>
          </w:rPr>
          <w:t>Senate Journal</w:t>
        </w:r>
        <w:r w:rsidRPr="005A1B77">
          <w:rPr>
            <w:rStyle w:val="Hyperlink"/>
            <w:rFonts w:cs="Times New Roman"/>
          </w:rPr>
          <w:noBreakHyphen/>
          <w:t>page 27</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5A1B77">
        <w:rPr>
          <w:rFonts w:cs="Times New Roman"/>
        </w:rPr>
        <w:t>Committee Amendment Adopted (</w:t>
      </w:r>
      <w:hyperlink r:id="rId9" w:history="1">
        <w:r w:rsidRPr="005A1B77">
          <w:rPr>
            <w:rStyle w:val="Hyperlink"/>
            <w:rFonts w:cs="Times New Roman"/>
          </w:rPr>
          <w:t>Senate Journal</w:t>
        </w:r>
        <w:r w:rsidRPr="005A1B77">
          <w:rPr>
            <w:rStyle w:val="Hyperlink"/>
            <w:rFonts w:cs="Times New Roman"/>
          </w:rPr>
          <w:noBreakHyphen/>
          <w:t>page 24</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4/1/2011</w:t>
      </w:r>
      <w:r>
        <w:rPr>
          <w:rFonts w:cs="Times New Roman"/>
        </w:rPr>
        <w:tab/>
      </w:r>
      <w:r>
        <w:rPr>
          <w:rFonts w:cs="Times New Roman"/>
        </w:rPr>
        <w:tab/>
      </w:r>
      <w:r w:rsidRPr="005A1B77">
        <w:rPr>
          <w:rFonts w:cs="Times New Roman"/>
        </w:rPr>
        <w:t>Scrivener's error corrected</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Senate</w:t>
      </w:r>
      <w:r>
        <w:rPr>
          <w:rFonts w:cs="Times New Roman"/>
        </w:rPr>
        <w:tab/>
      </w:r>
      <w:r w:rsidRPr="005A1B77">
        <w:rPr>
          <w:rFonts w:cs="Times New Roman"/>
        </w:rPr>
        <w:t>Read second time (</w:t>
      </w:r>
      <w:hyperlink r:id="rId10" w:history="1">
        <w:r w:rsidRPr="005A1B77">
          <w:rPr>
            <w:rStyle w:val="Hyperlink"/>
            <w:rFonts w:cs="Times New Roman"/>
          </w:rPr>
          <w:t>Senate Journal</w:t>
        </w:r>
        <w:r w:rsidRPr="005A1B77">
          <w:rPr>
            <w:rStyle w:val="Hyperlink"/>
            <w:rFonts w:cs="Times New Roman"/>
          </w:rPr>
          <w:noBreakHyphen/>
          <w:t>page 26</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Senate</w:t>
      </w:r>
      <w:r>
        <w:rPr>
          <w:rFonts w:cs="Times New Roman"/>
        </w:rPr>
        <w:tab/>
      </w:r>
      <w:r w:rsidRPr="005A1B77">
        <w:rPr>
          <w:rFonts w:cs="Times New Roman"/>
        </w:rPr>
        <w:t>Roll call Ayes</w:t>
      </w:r>
      <w:r>
        <w:rPr>
          <w:rFonts w:cs="Times New Roman"/>
        </w:rPr>
        <w:noBreakHyphen/>
      </w:r>
      <w:r w:rsidRPr="005A1B77">
        <w:rPr>
          <w:rFonts w:cs="Times New Roman"/>
        </w:rPr>
        <w:t>40  Nays</w:t>
      </w:r>
      <w:r>
        <w:rPr>
          <w:rFonts w:cs="Times New Roman"/>
        </w:rPr>
        <w:noBreakHyphen/>
      </w:r>
      <w:r w:rsidRPr="005A1B77">
        <w:rPr>
          <w:rFonts w:cs="Times New Roman"/>
        </w:rPr>
        <w:t>0 (</w:t>
      </w:r>
      <w:hyperlink r:id="rId11" w:history="1">
        <w:r w:rsidRPr="005A1B77">
          <w:rPr>
            <w:rStyle w:val="Hyperlink"/>
            <w:rFonts w:cs="Times New Roman"/>
          </w:rPr>
          <w:t>Senate Journal</w:t>
        </w:r>
        <w:r w:rsidRPr="005A1B77">
          <w:rPr>
            <w:rStyle w:val="Hyperlink"/>
            <w:rFonts w:cs="Times New Roman"/>
          </w:rPr>
          <w:noBreakHyphen/>
          <w:t>page 26</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Senate</w:t>
      </w:r>
      <w:r>
        <w:rPr>
          <w:rFonts w:cs="Times New Roman"/>
        </w:rPr>
        <w:tab/>
      </w:r>
      <w:r w:rsidRPr="005A1B77">
        <w:rPr>
          <w:rFonts w:cs="Times New Roman"/>
        </w:rPr>
        <w:t>Re</w:t>
      </w:r>
      <w:r>
        <w:rPr>
          <w:rFonts w:cs="Times New Roman"/>
        </w:rPr>
        <w:t xml:space="preserve">ad third time and sent to House </w:t>
      </w:r>
      <w:r w:rsidRPr="005A1B77">
        <w:rPr>
          <w:rFonts w:cs="Times New Roman"/>
        </w:rPr>
        <w:t>(</w:t>
      </w:r>
      <w:hyperlink r:id="rId12" w:history="1">
        <w:r w:rsidRPr="005A1B77">
          <w:rPr>
            <w:rStyle w:val="Hyperlink"/>
            <w:rFonts w:cs="Times New Roman"/>
          </w:rPr>
          <w:t>Senate Journal</w:t>
        </w:r>
        <w:r w:rsidRPr="005A1B77">
          <w:rPr>
            <w:rStyle w:val="Hyperlink"/>
            <w:rFonts w:cs="Times New Roman"/>
          </w:rPr>
          <w:noBreakHyphen/>
          <w:t>page 16</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5A1B77">
        <w:rPr>
          <w:rFonts w:cs="Times New Roman"/>
        </w:rPr>
        <w:t>Introduced and read first time (</w:t>
      </w:r>
      <w:hyperlink r:id="rId13" w:history="1">
        <w:r w:rsidRPr="005A1B77">
          <w:rPr>
            <w:rStyle w:val="Hyperlink"/>
            <w:rFonts w:cs="Times New Roman"/>
          </w:rPr>
          <w:t>House Journal</w:t>
        </w:r>
        <w:r w:rsidRPr="005A1B77">
          <w:rPr>
            <w:rStyle w:val="Hyperlink"/>
            <w:rFonts w:cs="Times New Roman"/>
          </w:rPr>
          <w:noBreakHyphen/>
          <w:t>page 73</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5A1B77">
        <w:rPr>
          <w:rFonts w:cs="Times New Roman"/>
        </w:rPr>
        <w:t>Ref</w:t>
      </w:r>
      <w:r>
        <w:rPr>
          <w:rFonts w:cs="Times New Roman"/>
        </w:rPr>
        <w:t xml:space="preserve">erred to Committee on </w:t>
      </w:r>
      <w:r w:rsidRPr="005A1B77">
        <w:rPr>
          <w:rFonts w:cs="Times New Roman"/>
          <w:b/>
        </w:rPr>
        <w:t>Judiciary</w:t>
      </w:r>
      <w:r>
        <w:rPr>
          <w:rFonts w:cs="Times New Roman"/>
        </w:rPr>
        <w:t xml:space="preserve"> </w:t>
      </w:r>
      <w:r w:rsidRPr="005A1B77">
        <w:rPr>
          <w:rFonts w:cs="Times New Roman"/>
        </w:rPr>
        <w:t>(</w:t>
      </w:r>
      <w:hyperlink r:id="rId14" w:history="1">
        <w:r w:rsidRPr="005A1B77">
          <w:rPr>
            <w:rStyle w:val="Hyperlink"/>
            <w:rFonts w:cs="Times New Roman"/>
          </w:rPr>
          <w:t>House Journal</w:t>
        </w:r>
        <w:r w:rsidRPr="005A1B77">
          <w:rPr>
            <w:rStyle w:val="Hyperlink"/>
            <w:rFonts w:cs="Times New Roman"/>
          </w:rPr>
          <w:noBreakHyphen/>
          <w:t>page 73</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5A1B77">
        <w:rPr>
          <w:rFonts w:cs="Times New Roman"/>
        </w:rPr>
        <w:t>Committee r</w:t>
      </w:r>
      <w:r>
        <w:rPr>
          <w:rFonts w:cs="Times New Roman"/>
        </w:rPr>
        <w:t xml:space="preserve">eport: Favorable with amendment </w:t>
      </w:r>
      <w:r w:rsidRPr="005A1B77">
        <w:rPr>
          <w:rFonts w:cs="Times New Roman"/>
          <w:b/>
        </w:rPr>
        <w:t>Judiciary</w:t>
      </w:r>
      <w:r w:rsidRPr="005A1B77">
        <w:rPr>
          <w:rFonts w:cs="Times New Roman"/>
        </w:rPr>
        <w:t xml:space="preserve"> (</w:t>
      </w:r>
      <w:hyperlink r:id="rId15" w:history="1">
        <w:r w:rsidRPr="005A1B77">
          <w:rPr>
            <w:rStyle w:val="Hyperlink"/>
            <w:rFonts w:cs="Times New Roman"/>
          </w:rPr>
          <w:t>House Journal</w:t>
        </w:r>
        <w:r w:rsidRPr="005A1B77">
          <w:rPr>
            <w:rStyle w:val="Hyperlink"/>
            <w:rFonts w:cs="Times New Roman"/>
          </w:rPr>
          <w:noBreakHyphen/>
          <w:t>page 59</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5A1B77">
        <w:rPr>
          <w:rFonts w:cs="Times New Roman"/>
        </w:rPr>
        <w:t>Debate adjourned (</w:t>
      </w:r>
      <w:hyperlink r:id="rId16" w:history="1">
        <w:r w:rsidRPr="005A1B77">
          <w:rPr>
            <w:rStyle w:val="Hyperlink"/>
            <w:rFonts w:cs="Times New Roman"/>
          </w:rPr>
          <w:t>House Journal</w:t>
        </w:r>
        <w:r w:rsidRPr="005A1B77">
          <w:rPr>
            <w:rStyle w:val="Hyperlink"/>
            <w:rFonts w:cs="Times New Roman"/>
          </w:rPr>
          <w:noBreakHyphen/>
          <w:t>page 66</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5A1B77">
        <w:rPr>
          <w:rFonts w:cs="Times New Roman"/>
        </w:rPr>
        <w:t>Debate adjourned until Wedne</w:t>
      </w:r>
      <w:r>
        <w:rPr>
          <w:rFonts w:cs="Times New Roman"/>
        </w:rPr>
        <w:t xml:space="preserve">sday, May 25, 2011 </w:t>
      </w:r>
      <w:r w:rsidRPr="005A1B77">
        <w:rPr>
          <w:rFonts w:cs="Times New Roman"/>
        </w:rPr>
        <w:t>(</w:t>
      </w:r>
      <w:hyperlink r:id="rId17" w:history="1">
        <w:r w:rsidRPr="005A1B77">
          <w:rPr>
            <w:rStyle w:val="Hyperlink"/>
            <w:rFonts w:cs="Times New Roman"/>
          </w:rPr>
          <w:t>House Journal</w:t>
        </w:r>
        <w:r w:rsidRPr="005A1B77">
          <w:rPr>
            <w:rStyle w:val="Hyperlink"/>
            <w:rFonts w:cs="Times New Roman"/>
          </w:rPr>
          <w:noBreakHyphen/>
          <w:t>page 106</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5A1B77">
        <w:rPr>
          <w:rFonts w:cs="Times New Roman"/>
        </w:rPr>
        <w:t>Amended (</w:t>
      </w:r>
      <w:hyperlink r:id="rId18" w:history="1">
        <w:r w:rsidRPr="005A1B77">
          <w:rPr>
            <w:rStyle w:val="Hyperlink"/>
            <w:rFonts w:cs="Times New Roman"/>
          </w:rPr>
          <w:t>House Journal</w:t>
        </w:r>
        <w:r w:rsidRPr="005A1B77">
          <w:rPr>
            <w:rStyle w:val="Hyperlink"/>
            <w:rFonts w:cs="Times New Roman"/>
          </w:rPr>
          <w:noBreakHyphen/>
          <w:t>page 19</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5A1B77">
        <w:rPr>
          <w:rFonts w:cs="Times New Roman"/>
        </w:rPr>
        <w:t>Read second time (</w:t>
      </w:r>
      <w:hyperlink r:id="rId19" w:history="1">
        <w:r w:rsidRPr="005A1B77">
          <w:rPr>
            <w:rStyle w:val="Hyperlink"/>
            <w:rFonts w:cs="Times New Roman"/>
          </w:rPr>
          <w:t>House Journal</w:t>
        </w:r>
        <w:r w:rsidRPr="005A1B77">
          <w:rPr>
            <w:rStyle w:val="Hyperlink"/>
            <w:rFonts w:cs="Times New Roman"/>
          </w:rPr>
          <w:noBreakHyphen/>
          <w:t>page 19</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5A1B77">
        <w:rPr>
          <w:rFonts w:cs="Times New Roman"/>
        </w:rPr>
        <w:t>Roll call Yeas</w:t>
      </w:r>
      <w:r>
        <w:rPr>
          <w:rFonts w:cs="Times New Roman"/>
        </w:rPr>
        <w:noBreakHyphen/>
      </w:r>
      <w:r w:rsidRPr="005A1B77">
        <w:rPr>
          <w:rFonts w:cs="Times New Roman"/>
        </w:rPr>
        <w:t>107  Nays</w:t>
      </w:r>
      <w:r>
        <w:rPr>
          <w:rFonts w:cs="Times New Roman"/>
        </w:rPr>
        <w:noBreakHyphen/>
      </w:r>
      <w:r w:rsidRPr="005A1B77">
        <w:rPr>
          <w:rFonts w:cs="Times New Roman"/>
        </w:rPr>
        <w:t>3 (</w:t>
      </w:r>
      <w:hyperlink r:id="rId20" w:history="1">
        <w:r w:rsidRPr="005A1B77">
          <w:rPr>
            <w:rStyle w:val="Hyperlink"/>
            <w:rFonts w:cs="Times New Roman"/>
          </w:rPr>
          <w:t>House Journal</w:t>
        </w:r>
        <w:r w:rsidRPr="005A1B77">
          <w:rPr>
            <w:rStyle w:val="Hyperlink"/>
            <w:rFonts w:cs="Times New Roman"/>
          </w:rPr>
          <w:noBreakHyphen/>
          <w:t>page 19</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House</w:t>
      </w:r>
      <w:r>
        <w:rPr>
          <w:rFonts w:cs="Times New Roman"/>
        </w:rPr>
        <w:tab/>
      </w:r>
      <w:r w:rsidRPr="005A1B77">
        <w:rPr>
          <w:rFonts w:cs="Times New Roman"/>
        </w:rPr>
        <w:t>Read third t</w:t>
      </w:r>
      <w:r>
        <w:rPr>
          <w:rFonts w:cs="Times New Roman"/>
        </w:rPr>
        <w:t xml:space="preserve">ime and returned to Senate with </w:t>
      </w:r>
      <w:r w:rsidRPr="005A1B77">
        <w:rPr>
          <w:rFonts w:cs="Times New Roman"/>
        </w:rPr>
        <w:t>amendments (</w:t>
      </w:r>
      <w:hyperlink r:id="rId21" w:history="1">
        <w:r w:rsidRPr="005A1B77">
          <w:rPr>
            <w:rStyle w:val="Hyperlink"/>
            <w:rFonts w:cs="Times New Roman"/>
          </w:rPr>
          <w:t>House Journal</w:t>
        </w:r>
        <w:r w:rsidRPr="005A1B77">
          <w:rPr>
            <w:rStyle w:val="Hyperlink"/>
            <w:rFonts w:cs="Times New Roman"/>
          </w:rPr>
          <w:noBreakHyphen/>
          <w:t>page 6</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5A1B77">
        <w:rPr>
          <w:rFonts w:cs="Times New Roman"/>
        </w:rPr>
        <w:t>House amendment amended (</w:t>
      </w:r>
      <w:hyperlink r:id="rId22" w:history="1">
        <w:r w:rsidRPr="005A1B77">
          <w:rPr>
            <w:rStyle w:val="Hyperlink"/>
            <w:rFonts w:cs="Times New Roman"/>
          </w:rPr>
          <w:t>Senate Journal</w:t>
        </w:r>
        <w:r w:rsidRPr="005A1B77">
          <w:rPr>
            <w:rStyle w:val="Hyperlink"/>
            <w:rFonts w:cs="Times New Roman"/>
          </w:rPr>
          <w:noBreakHyphen/>
          <w:t>page 169</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5A1B77">
        <w:rPr>
          <w:rFonts w:cs="Times New Roman"/>
        </w:rPr>
        <w:t>Roll call Ayes</w:t>
      </w:r>
      <w:r>
        <w:rPr>
          <w:rFonts w:cs="Times New Roman"/>
        </w:rPr>
        <w:noBreakHyphen/>
      </w:r>
      <w:r w:rsidRPr="005A1B77">
        <w:rPr>
          <w:rFonts w:cs="Times New Roman"/>
        </w:rPr>
        <w:t>40  Nays</w:t>
      </w:r>
      <w:r>
        <w:rPr>
          <w:rFonts w:cs="Times New Roman"/>
        </w:rPr>
        <w:noBreakHyphen/>
      </w:r>
      <w:r w:rsidRPr="005A1B77">
        <w:rPr>
          <w:rFonts w:cs="Times New Roman"/>
        </w:rPr>
        <w:t>0 (</w:t>
      </w:r>
      <w:hyperlink r:id="rId23" w:history="1">
        <w:r w:rsidRPr="005A1B77">
          <w:rPr>
            <w:rStyle w:val="Hyperlink"/>
            <w:rFonts w:cs="Times New Roman"/>
          </w:rPr>
          <w:t>Senate Journal</w:t>
        </w:r>
        <w:r w:rsidRPr="005A1B77">
          <w:rPr>
            <w:rStyle w:val="Hyperlink"/>
            <w:rFonts w:cs="Times New Roman"/>
          </w:rPr>
          <w:noBreakHyphen/>
          <w:t>page 169</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5A1B77">
        <w:rPr>
          <w:rFonts w:cs="Times New Roman"/>
        </w:rPr>
        <w:t>Re</w:t>
      </w:r>
      <w:r>
        <w:rPr>
          <w:rFonts w:cs="Times New Roman"/>
        </w:rPr>
        <w:t xml:space="preserve">turned to House with amendments </w:t>
      </w:r>
      <w:r w:rsidRPr="005A1B77">
        <w:rPr>
          <w:rFonts w:cs="Times New Roman"/>
        </w:rPr>
        <w:t>(</w:t>
      </w:r>
      <w:hyperlink r:id="rId24" w:history="1">
        <w:r w:rsidRPr="005A1B77">
          <w:rPr>
            <w:rStyle w:val="Hyperlink"/>
            <w:rFonts w:cs="Times New Roman"/>
          </w:rPr>
          <w:t>Senate Journal</w:t>
        </w:r>
        <w:r w:rsidRPr="005A1B77">
          <w:rPr>
            <w:rStyle w:val="Hyperlink"/>
            <w:rFonts w:cs="Times New Roman"/>
          </w:rPr>
          <w:noBreakHyphen/>
          <w:t>page 169</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lastRenderedPageBreak/>
        <w:tab/>
        <w:t>6/2/2011</w:t>
      </w:r>
      <w:r>
        <w:rPr>
          <w:rFonts w:cs="Times New Roman"/>
        </w:rPr>
        <w:tab/>
        <w:t>House</w:t>
      </w:r>
      <w:r>
        <w:rPr>
          <w:rFonts w:cs="Times New Roman"/>
        </w:rPr>
        <w:tab/>
      </w:r>
      <w:r w:rsidRPr="005A1B77">
        <w:rPr>
          <w:rFonts w:cs="Times New Roman"/>
        </w:rPr>
        <w:t>Non</w:t>
      </w:r>
      <w:r>
        <w:rPr>
          <w:rFonts w:cs="Times New Roman"/>
        </w:rPr>
        <w:noBreakHyphen/>
        <w:t xml:space="preserve">concurrence in Senate amendment </w:t>
      </w:r>
      <w:r w:rsidRPr="005A1B77">
        <w:rPr>
          <w:rFonts w:cs="Times New Roman"/>
        </w:rPr>
        <w:t>(</w:t>
      </w:r>
      <w:hyperlink r:id="rId25" w:history="1">
        <w:r w:rsidRPr="005A1B77">
          <w:rPr>
            <w:rStyle w:val="Hyperlink"/>
            <w:rFonts w:cs="Times New Roman"/>
          </w:rPr>
          <w:t>House Journal</w:t>
        </w:r>
        <w:r w:rsidRPr="005A1B77">
          <w:rPr>
            <w:rStyle w:val="Hyperlink"/>
            <w:rFonts w:cs="Times New Roman"/>
          </w:rPr>
          <w:noBreakHyphen/>
          <w:t>page 89</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Senate</w:t>
      </w:r>
      <w:r>
        <w:rPr>
          <w:rFonts w:cs="Times New Roman"/>
        </w:rPr>
        <w:tab/>
      </w:r>
      <w:r w:rsidRPr="005A1B77">
        <w:rPr>
          <w:rFonts w:cs="Times New Roman"/>
        </w:rPr>
        <w:t>Senate insist</w:t>
      </w:r>
      <w:r>
        <w:rPr>
          <w:rFonts w:cs="Times New Roman"/>
        </w:rPr>
        <w:t xml:space="preserve">s upon amendment and conference </w:t>
      </w:r>
      <w:r w:rsidRPr="005A1B77">
        <w:rPr>
          <w:rFonts w:cs="Times New Roman"/>
        </w:rPr>
        <w:t>committee appoin</w:t>
      </w:r>
      <w:r>
        <w:rPr>
          <w:rFonts w:cs="Times New Roman"/>
        </w:rPr>
        <w:t xml:space="preserve">ted Hutto, Massey, and Shoopman </w:t>
      </w:r>
      <w:r w:rsidRPr="005A1B77">
        <w:rPr>
          <w:rFonts w:cs="Times New Roman"/>
        </w:rPr>
        <w:t>(</w:t>
      </w:r>
      <w:hyperlink r:id="rId26" w:history="1">
        <w:r w:rsidRPr="005A1B77">
          <w:rPr>
            <w:rStyle w:val="Hyperlink"/>
            <w:rFonts w:cs="Times New Roman"/>
          </w:rPr>
          <w:t>Senate Journal</w:t>
        </w:r>
        <w:r w:rsidRPr="005A1B77">
          <w:rPr>
            <w:rStyle w:val="Hyperlink"/>
            <w:rFonts w:cs="Times New Roman"/>
          </w:rPr>
          <w:noBreakHyphen/>
          <w:t>page 24</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House</w:t>
      </w:r>
      <w:r>
        <w:rPr>
          <w:rFonts w:cs="Times New Roman"/>
        </w:rPr>
        <w:tab/>
      </w:r>
      <w:r w:rsidRPr="005A1B77">
        <w:rPr>
          <w:rFonts w:cs="Times New Roman"/>
        </w:rPr>
        <w:t>Conference commi</w:t>
      </w:r>
      <w:r>
        <w:rPr>
          <w:rFonts w:cs="Times New Roman"/>
        </w:rPr>
        <w:t xml:space="preserve">ttee appointed Reps. Bannister, </w:t>
      </w:r>
      <w:r w:rsidRPr="005A1B77">
        <w:rPr>
          <w:rFonts w:cs="Times New Roman"/>
        </w:rPr>
        <w:t>Tallon and Rutherford (</w:t>
      </w:r>
      <w:hyperlink r:id="rId27" w:history="1">
        <w:r w:rsidRPr="005A1B77">
          <w:rPr>
            <w:rStyle w:val="Hyperlink"/>
            <w:rFonts w:cs="Times New Roman"/>
          </w:rPr>
          <w:t>House Journal</w:t>
        </w:r>
        <w:r w:rsidRPr="005A1B77">
          <w:rPr>
            <w:rStyle w:val="Hyperlink"/>
            <w:rFonts w:cs="Times New Roman"/>
          </w:rPr>
          <w:noBreakHyphen/>
          <w:t>page 655</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t>House</w:t>
      </w:r>
      <w:r>
        <w:rPr>
          <w:rFonts w:cs="Times New Roman"/>
        </w:rPr>
        <w:tab/>
      </w:r>
      <w:r w:rsidRPr="005A1B77">
        <w:rPr>
          <w:rFonts w:cs="Times New Roman"/>
        </w:rPr>
        <w:t>Confere</w:t>
      </w:r>
      <w:r>
        <w:rPr>
          <w:rFonts w:cs="Times New Roman"/>
        </w:rPr>
        <w:t xml:space="preserve">nce report received and adopted </w:t>
      </w:r>
      <w:r w:rsidRPr="005A1B77">
        <w:rPr>
          <w:rFonts w:cs="Times New Roman"/>
        </w:rPr>
        <w:t>(</w:t>
      </w:r>
      <w:hyperlink r:id="rId28" w:history="1">
        <w:r w:rsidRPr="005A1B77">
          <w:rPr>
            <w:rStyle w:val="Hyperlink"/>
            <w:rFonts w:cs="Times New Roman"/>
          </w:rPr>
          <w:t>House Journal</w:t>
        </w:r>
        <w:r w:rsidRPr="005A1B77">
          <w:rPr>
            <w:rStyle w:val="Hyperlink"/>
            <w:rFonts w:cs="Times New Roman"/>
          </w:rPr>
          <w:noBreakHyphen/>
          <w:t>page 317</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t>Senate</w:t>
      </w:r>
      <w:r>
        <w:rPr>
          <w:rFonts w:cs="Times New Roman"/>
        </w:rPr>
        <w:tab/>
      </w:r>
      <w:r w:rsidRPr="005A1B77">
        <w:rPr>
          <w:rFonts w:cs="Times New Roman"/>
        </w:rPr>
        <w:t>Confere</w:t>
      </w:r>
      <w:r>
        <w:rPr>
          <w:rFonts w:cs="Times New Roman"/>
        </w:rPr>
        <w:t xml:space="preserve">nce report received and adopted </w:t>
      </w:r>
      <w:r w:rsidRPr="005A1B77">
        <w:rPr>
          <w:rFonts w:cs="Times New Roman"/>
        </w:rPr>
        <w:t>(</w:t>
      </w:r>
      <w:hyperlink r:id="rId29" w:history="1">
        <w:r w:rsidRPr="005A1B77">
          <w:rPr>
            <w:rStyle w:val="Hyperlink"/>
            <w:rFonts w:cs="Times New Roman"/>
          </w:rPr>
          <w:t>Senate Journal</w:t>
        </w:r>
        <w:r w:rsidRPr="005A1B77">
          <w:rPr>
            <w:rStyle w:val="Hyperlink"/>
            <w:rFonts w:cs="Times New Roman"/>
          </w:rPr>
          <w:noBreakHyphen/>
          <w:t>page 15</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t>Senate</w:t>
      </w:r>
      <w:r>
        <w:rPr>
          <w:rFonts w:cs="Times New Roman"/>
        </w:rPr>
        <w:tab/>
      </w:r>
      <w:r w:rsidRPr="005A1B77">
        <w:rPr>
          <w:rFonts w:cs="Times New Roman"/>
        </w:rPr>
        <w:t>Roll call Ayes</w:t>
      </w:r>
      <w:r>
        <w:rPr>
          <w:rFonts w:cs="Times New Roman"/>
        </w:rPr>
        <w:noBreakHyphen/>
      </w:r>
      <w:r w:rsidRPr="005A1B77">
        <w:rPr>
          <w:rFonts w:cs="Times New Roman"/>
        </w:rPr>
        <w:t>43  Nays</w:t>
      </w:r>
      <w:r>
        <w:rPr>
          <w:rFonts w:cs="Times New Roman"/>
        </w:rPr>
        <w:noBreakHyphen/>
      </w:r>
      <w:r w:rsidRPr="005A1B77">
        <w:rPr>
          <w:rFonts w:cs="Times New Roman"/>
        </w:rPr>
        <w:t>0 (</w:t>
      </w:r>
      <w:hyperlink r:id="rId30" w:history="1">
        <w:r w:rsidRPr="005A1B77">
          <w:rPr>
            <w:rStyle w:val="Hyperlink"/>
            <w:rFonts w:cs="Times New Roman"/>
          </w:rPr>
          <w:t>Senate Journal</w:t>
        </w:r>
        <w:r w:rsidRPr="005A1B77">
          <w:rPr>
            <w:rStyle w:val="Hyperlink"/>
            <w:rFonts w:cs="Times New Roman"/>
          </w:rPr>
          <w:noBreakHyphen/>
          <w:t>page 15</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t>House</w:t>
      </w:r>
      <w:r>
        <w:rPr>
          <w:rFonts w:cs="Times New Roman"/>
        </w:rPr>
        <w:tab/>
      </w:r>
      <w:r w:rsidRPr="005A1B77">
        <w:rPr>
          <w:rFonts w:cs="Times New Roman"/>
        </w:rPr>
        <w:t>Or</w:t>
      </w:r>
      <w:r>
        <w:rPr>
          <w:rFonts w:cs="Times New Roman"/>
        </w:rPr>
        <w:t xml:space="preserve">dered enrolled for ratification </w:t>
      </w:r>
      <w:r w:rsidRPr="005A1B77">
        <w:rPr>
          <w:rFonts w:cs="Times New Roman"/>
        </w:rPr>
        <w:t>(</w:t>
      </w:r>
      <w:hyperlink r:id="rId31" w:history="1">
        <w:r w:rsidRPr="005A1B77">
          <w:rPr>
            <w:rStyle w:val="Hyperlink"/>
            <w:rFonts w:cs="Times New Roman"/>
          </w:rPr>
          <w:t>House Journal</w:t>
        </w:r>
        <w:r w:rsidRPr="005A1B77">
          <w:rPr>
            <w:rStyle w:val="Hyperlink"/>
            <w:rFonts w:cs="Times New Roman"/>
          </w:rPr>
          <w:noBreakHyphen/>
          <w:t>page 321</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r>
      <w:r>
        <w:rPr>
          <w:rFonts w:cs="Times New Roman"/>
        </w:rPr>
        <w:tab/>
      </w:r>
      <w:r w:rsidRPr="005A1B77">
        <w:rPr>
          <w:rFonts w:cs="Times New Roman"/>
        </w:rPr>
        <w:t>Ratified R 104 (</w:t>
      </w:r>
      <w:hyperlink r:id="rId32" w:history="1">
        <w:r w:rsidRPr="005A1B77">
          <w:rPr>
            <w:rStyle w:val="Hyperlink"/>
            <w:rFonts w:cs="Times New Roman"/>
          </w:rPr>
          <w:t>Senate Journal</w:t>
        </w:r>
        <w:r w:rsidRPr="005A1B77">
          <w:rPr>
            <w:rStyle w:val="Hyperlink"/>
            <w:rFonts w:cs="Times New Roman"/>
          </w:rPr>
          <w:noBreakHyphen/>
          <w:t>page 50</w:t>
        </w:r>
      </w:hyperlink>
      <w:r w:rsidRPr="005A1B77">
        <w:rPr>
          <w:rFonts w:cs="Times New Roman"/>
        </w:rPr>
        <w:t>)</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6/28/2011</w:t>
      </w:r>
      <w:r>
        <w:rPr>
          <w:rFonts w:cs="Times New Roman"/>
        </w:rPr>
        <w:tab/>
      </w:r>
      <w:r>
        <w:rPr>
          <w:rFonts w:cs="Times New Roman"/>
        </w:rPr>
        <w:tab/>
      </w:r>
      <w:r w:rsidRPr="005A1B77">
        <w:rPr>
          <w:rFonts w:cs="Times New Roman"/>
        </w:rPr>
        <w:t>Signed By Governor</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7/1/2011</w:t>
      </w:r>
      <w:r>
        <w:rPr>
          <w:rFonts w:cs="Times New Roman"/>
        </w:rPr>
        <w:tab/>
      </w:r>
      <w:r>
        <w:rPr>
          <w:rFonts w:cs="Times New Roman"/>
        </w:rPr>
        <w:tab/>
      </w:r>
      <w:r w:rsidRPr="005A1B77">
        <w:rPr>
          <w:rFonts w:cs="Times New Roman"/>
        </w:rPr>
        <w:t>Effective date 06/28/11</w:t>
      </w:r>
    </w:p>
    <w:p w:rsidR="00EC7BF0" w:rsidRDefault="00EC7BF0" w:rsidP="00EC7BF0">
      <w:pPr>
        <w:widowControl w:val="0"/>
        <w:tabs>
          <w:tab w:val="right" w:pos="1008"/>
          <w:tab w:val="left" w:pos="1152"/>
          <w:tab w:val="left" w:pos="1872"/>
          <w:tab w:val="left" w:pos="9187"/>
        </w:tabs>
        <w:ind w:left="2088" w:hanging="2088"/>
        <w:rPr>
          <w:rFonts w:cs="Times New Roman"/>
        </w:rPr>
      </w:pPr>
      <w:r>
        <w:rPr>
          <w:rFonts w:cs="Times New Roman"/>
        </w:rPr>
        <w:tab/>
        <w:t>7/6/2011</w:t>
      </w:r>
      <w:r>
        <w:rPr>
          <w:rFonts w:cs="Times New Roman"/>
        </w:rPr>
        <w:tab/>
      </w:r>
      <w:r>
        <w:rPr>
          <w:rFonts w:cs="Times New Roman"/>
        </w:rPr>
        <w:tab/>
      </w:r>
      <w:r w:rsidRPr="005A1B77">
        <w:rPr>
          <w:rFonts w:cs="Times New Roman"/>
        </w:rPr>
        <w:t>Act No</w:t>
      </w:r>
      <w:r>
        <w:rPr>
          <w:rFonts w:cs="Times New Roman"/>
        </w:rPr>
        <w:t>. </w:t>
      </w:r>
      <w:r w:rsidRPr="005A1B77">
        <w:rPr>
          <w:rFonts w:cs="Times New Roman"/>
        </w:rPr>
        <w:t>70</w:t>
      </w:r>
    </w:p>
    <w:p w:rsidR="00EC7BF0" w:rsidRDefault="00EC7BF0" w:rsidP="00EC7BF0">
      <w:pPr>
        <w:widowControl w:val="0"/>
        <w:tabs>
          <w:tab w:val="right" w:pos="1008"/>
          <w:tab w:val="left" w:pos="1152"/>
          <w:tab w:val="left" w:pos="1872"/>
          <w:tab w:val="left" w:pos="9187"/>
        </w:tabs>
        <w:ind w:left="2088" w:hanging="2088"/>
        <w:rPr>
          <w:rFonts w:cs="Times New Roman"/>
        </w:rPr>
      </w:pPr>
    </w:p>
    <w:p w:rsidR="00401E05" w:rsidRPr="00401E05" w:rsidRDefault="00401E05" w:rsidP="00401E05">
      <w:pPr>
        <w:widowControl w:val="0"/>
        <w:tabs>
          <w:tab w:val="right" w:pos="1008"/>
          <w:tab w:val="left" w:pos="1152"/>
          <w:tab w:val="left" w:pos="1872"/>
          <w:tab w:val="left" w:pos="9187"/>
        </w:tabs>
        <w:ind w:left="2088" w:hanging="2088"/>
        <w:rPr>
          <w:rFonts w:cs="Times New Roman"/>
        </w:rPr>
      </w:pPr>
    </w:p>
    <w:p w:rsidR="00401E05" w:rsidRPr="00401E05" w:rsidRDefault="00401E05"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1E05">
        <w:rPr>
          <w:rFonts w:cs="Times New Roman"/>
          <w:b/>
        </w:rPr>
        <w:t>VERSIONS OF THIS BILL</w:t>
      </w:r>
    </w:p>
    <w:p w:rsidR="00401E05" w:rsidRPr="00401E05" w:rsidRDefault="00401E05"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E05" w:rsidRPr="00401E05" w:rsidRDefault="00F633B9" w:rsidP="00401E0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401E05" w:rsidRPr="00401E05">
          <w:rPr>
            <w:rFonts w:cs="Times New Roman"/>
            <w:color w:val="0000FF" w:themeColor="hyperlink"/>
            <w:u w:val="single"/>
          </w:rPr>
          <w:t>12/1/2010</w:t>
        </w:r>
      </w:hyperlink>
    </w:p>
    <w:p w:rsidR="00401E05" w:rsidRPr="00401E05" w:rsidRDefault="00F633B9" w:rsidP="00401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401E05" w:rsidRPr="00401E05">
          <w:rPr>
            <w:rFonts w:cs="Times New Roman"/>
            <w:color w:val="0000FF" w:themeColor="hyperlink"/>
            <w:u w:val="single"/>
          </w:rPr>
          <w:t>3/30/2011</w:t>
        </w:r>
      </w:hyperlink>
    </w:p>
    <w:p w:rsidR="00401E05" w:rsidRPr="00401E05" w:rsidRDefault="00F633B9" w:rsidP="00401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401E05" w:rsidRPr="00401E05">
          <w:rPr>
            <w:rFonts w:cs="Times New Roman"/>
            <w:color w:val="0000FF" w:themeColor="hyperlink"/>
            <w:u w:val="single"/>
          </w:rPr>
          <w:t>3/31/2011</w:t>
        </w:r>
      </w:hyperlink>
    </w:p>
    <w:p w:rsidR="00401E05" w:rsidRPr="00401E05" w:rsidRDefault="00F633B9" w:rsidP="00401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401E05" w:rsidRPr="00401E05">
          <w:rPr>
            <w:rFonts w:cs="Times New Roman"/>
            <w:color w:val="0000FF" w:themeColor="hyperlink"/>
            <w:u w:val="single"/>
          </w:rPr>
          <w:t>4/1/2011</w:t>
        </w:r>
      </w:hyperlink>
    </w:p>
    <w:p w:rsidR="00401E05" w:rsidRPr="00401E05" w:rsidRDefault="00F633B9" w:rsidP="00401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401E05" w:rsidRPr="00401E05">
          <w:rPr>
            <w:rFonts w:cs="Times New Roman"/>
            <w:color w:val="0000FF" w:themeColor="hyperlink"/>
            <w:u w:val="single"/>
          </w:rPr>
          <w:t>5/18/2011</w:t>
        </w:r>
      </w:hyperlink>
    </w:p>
    <w:p w:rsidR="00401E05" w:rsidRPr="00401E05" w:rsidRDefault="00F633B9" w:rsidP="00401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401E05" w:rsidRPr="00401E05">
          <w:rPr>
            <w:rFonts w:cs="Times New Roman"/>
            <w:color w:val="0000FF" w:themeColor="hyperlink"/>
            <w:u w:val="single"/>
          </w:rPr>
          <w:t>5/25/2011</w:t>
        </w:r>
      </w:hyperlink>
    </w:p>
    <w:p w:rsidR="00401E05" w:rsidRPr="00401E05" w:rsidRDefault="00F633B9" w:rsidP="00401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401E05" w:rsidRPr="00401E05">
          <w:rPr>
            <w:rFonts w:cs="Times New Roman"/>
            <w:color w:val="0000FF" w:themeColor="hyperlink"/>
            <w:u w:val="single"/>
          </w:rPr>
          <w:t>6/1/2011</w:t>
        </w:r>
      </w:hyperlink>
    </w:p>
    <w:p w:rsidR="00401E05" w:rsidRPr="00401E05" w:rsidRDefault="00F633B9" w:rsidP="00401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401E05" w:rsidRPr="00401E05">
          <w:rPr>
            <w:rFonts w:cs="Times New Roman"/>
            <w:color w:val="0000FF" w:themeColor="hyperlink"/>
            <w:u w:val="single"/>
          </w:rPr>
          <w:t>6/22/2011</w:t>
        </w:r>
      </w:hyperlink>
    </w:p>
    <w:p w:rsidR="00401E05" w:rsidRPr="00401E05" w:rsidRDefault="00401E05" w:rsidP="00401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01E05" w:rsidRDefault="00401E05" w:rsidP="00401E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01E05" w:rsidSect="00401E05">
          <w:pgSz w:w="12240" w:h="15840" w:code="1"/>
          <w:pgMar w:top="1080" w:right="1440" w:bottom="1080" w:left="1440" w:header="720" w:footer="720" w:gutter="0"/>
          <w:pgNumType w:start="1"/>
          <w:cols w:space="720"/>
          <w:noEndnote/>
          <w:docGrid w:linePitch="360"/>
        </w:sectPr>
      </w:pPr>
    </w:p>
    <w:p w:rsidR="00DC4BED"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(A70, R104, S30)</w:t>
      </w:r>
    </w:p>
    <w:p w:rsidR="00DC4BED" w:rsidRPr="008836A5"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C4BED" w:rsidRPr="00401E05"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01E05">
        <w:rPr>
          <w:rFonts w:cs="Times New Roman"/>
          <w:b/>
          <w:color w:val="000000" w:themeColor="text1"/>
          <w:szCs w:val="36"/>
        </w:rPr>
        <w:t xml:space="preserve">AN ACT </w:t>
      </w:r>
      <w:r w:rsidRPr="00401E05">
        <w:rPr>
          <w:rFonts w:eastAsia="Calibri" w:cs="Times New Roman"/>
          <w:b/>
          <w:color w:val="000000"/>
          <w:u w:color="000000"/>
        </w:rPr>
        <w:t>TO AMEND SECTION 22</w:t>
      </w:r>
      <w:r w:rsidRPr="00401E05">
        <w:rPr>
          <w:rFonts w:cs="Times New Roman"/>
          <w:b/>
          <w:color w:val="000000" w:themeColor="text1"/>
          <w:u w:color="000000" w:themeColor="text1"/>
        </w:rPr>
        <w:noBreakHyphen/>
      </w:r>
      <w:r w:rsidRPr="00401E05">
        <w:rPr>
          <w:rFonts w:eastAsia="Calibri" w:cs="Times New Roman"/>
          <w:b/>
          <w:color w:val="000000"/>
          <w:u w:color="000000"/>
        </w:rPr>
        <w:t>5</w:t>
      </w:r>
      <w:r w:rsidRPr="00401E05">
        <w:rPr>
          <w:rFonts w:cs="Times New Roman"/>
          <w:b/>
          <w:color w:val="000000" w:themeColor="text1"/>
          <w:u w:color="000000" w:themeColor="text1"/>
        </w:rPr>
        <w:noBreakHyphen/>
      </w:r>
      <w:r w:rsidRPr="00401E05">
        <w:rPr>
          <w:rFonts w:eastAsia="Calibri" w:cs="Times New Roman"/>
          <w:b/>
          <w:color w:val="000000"/>
          <w:u w:color="000000"/>
        </w:rPr>
        <w:t>110, AS AMENDED, CODE OF LAWS OF SOUTH CAROLINA, 1976, RELAT</w:t>
      </w:r>
      <w:r>
        <w:rPr>
          <w:rFonts w:eastAsia="Calibri" w:cs="Times New Roman"/>
          <w:b/>
          <w:color w:val="000000"/>
          <w:u w:color="000000"/>
        </w:rPr>
        <w:t>ING</w:t>
      </w:r>
      <w:r w:rsidRPr="00401E05">
        <w:rPr>
          <w:rFonts w:eastAsia="Calibri" w:cs="Times New Roman"/>
          <w:b/>
          <w:color w:val="000000"/>
          <w:u w:color="000000"/>
        </w:rPr>
        <w:t xml:space="preserve"> TO MAGISTRATES</w:t>
      </w:r>
      <w:r w:rsidRPr="00401E05">
        <w:rPr>
          <w:rFonts w:cs="Times New Roman"/>
          <w:b/>
          <w:color w:val="000000" w:themeColor="text1"/>
          <w:u w:color="000000" w:themeColor="text1"/>
        </w:rPr>
        <w:t>’</w:t>
      </w:r>
      <w:r w:rsidRPr="00401E05">
        <w:rPr>
          <w:rFonts w:eastAsia="Calibri" w:cs="Times New Roman"/>
          <w:b/>
          <w:color w:val="000000"/>
          <w:u w:color="000000"/>
        </w:rPr>
        <w:t xml:space="preserve"> POWERS AND DUTIES REGARDING THE ISSUANCE OF ARREST WARRANTS AND COURTESY SUMMONS, SO AS TO MAKE TECHNICAL CHANGES, TO PROVIDE THAT NO ARREST WARRANT SHALL BE ISSUED FOR THE ARREST OF A PERSON UNLESS SOUGHT BY A MEMBER OF A LAW ENFORCEMENT AGENCY ACTING IN HIS OFFICIAL CAPACITY, CERTAIN BUSINESSES SEEKING AN ARREST WARRANT FOR AN OFFENSE AGAINST THE BUSINESS, AND PERSONS SEEKING AN ARREST WARRANT FOR A FRAUDULENT CHECK OR OFFENSES INVOLVING CRIMINAL DOMESTIC VIOLENCE, HARASSMENT, OR ASSAULT AND BATTERY, TO PROVIDE THAT A COURTESY SUMMONS MUST BE ISSUED WHEN AN ARREST WARRANT IS SOUGHT BY ANY OTHER PERSON, AND TO PROVIDE THAT AN ARREST WARRANT MAY BE ISSUED WHEN A PERSON FAILS TO APPEAR BEFORE THE COURT PURSUANT TO A COURTESY SUMMONS; TO AMEND SECTION 22-1-10, RELATING TO THE APPOINTMENT OF MAGISTRATES, THEIR TERMS AND JURISDICTION, SO AS TO PROVIDE THAT THE GOVERNOR MAY APPOINT A MAGISTRATE TO A POSITION THAT BECOMES VACANT ONCE THE TERM OF A SITTING MAGISTRATE IS TERMINATED UNDER CERTAIN CIRCUMSTANCES; TO AMEND SECTION 22-1-30, RELATING TO THE SUSPENSION OR REMOVAL OF A MAGISTRATE, SO AS TO PROVIDE A PROCEDURE TO END A MAGISTRATE’S TERM OF OFFICE AND NOT ALLOW HIM TO CONTINUE TO SERVE UNTIL HIS SUCCESSOR IS APPOINTED; AND TO AMEND SECTION 22-2-40, RELATING TO THE NUMBER AND LOCATION OF MAGISTRATES THAT MAY SERVE IN A COUNTY, SO AS TO PROVIDE AN ADDITIONAL PROVISION THAT WOULD ALLOW THE NUMBER AND LOCATION OF MAGISTRATES TO BE INCREASED OR DECREASED.</w:t>
      </w: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73C39">
        <w:rPr>
          <w:rFonts w:eastAsia="Times New Roman" w:cs="Times New Roman"/>
        </w:rPr>
        <w:t>Be it enacted by the General Assembly of the State of South Carolina:</w:t>
      </w:r>
    </w:p>
    <w:p w:rsidR="00DC4BED"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C4BED" w:rsidRDefault="00DC4BED" w:rsidP="00DC4BE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2401E">
        <w:rPr>
          <w:rFonts w:eastAsia="Times New Roman"/>
          <w:b/>
        </w:rPr>
        <w:t>Magistrates</w:t>
      </w:r>
    </w:p>
    <w:p w:rsidR="00DC4BED" w:rsidRPr="00473C39" w:rsidRDefault="00DC4BED" w:rsidP="00DC4BE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C4BED" w:rsidRPr="00473C39" w:rsidRDefault="00DC4BED" w:rsidP="00DC4BE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73C39">
        <w:rPr>
          <w:rFonts w:eastAsia="Times New Roman" w:cs="Times New Roman"/>
        </w:rPr>
        <w:t>SECTION</w:t>
      </w:r>
      <w:r w:rsidRPr="00473C39">
        <w:rPr>
          <w:rFonts w:eastAsia="Times New Roman" w:cs="Times New Roman"/>
        </w:rPr>
        <w:tab/>
        <w:t>1.</w:t>
      </w:r>
      <w:r w:rsidRPr="00473C39">
        <w:rPr>
          <w:rFonts w:eastAsia="Times New Roman" w:cs="Times New Roman"/>
        </w:rPr>
        <w:tab/>
      </w:r>
      <w:r w:rsidRPr="00473C39">
        <w:rPr>
          <w:rFonts w:eastAsia="Calibri" w:cs="Times New Roman"/>
          <w:color w:val="000000"/>
          <w:u w:color="000000"/>
        </w:rPr>
        <w:t>Section 22</w:t>
      </w:r>
      <w:r w:rsidRPr="00473C39">
        <w:rPr>
          <w:rFonts w:cs="Times New Roman"/>
          <w:color w:val="000000" w:themeColor="text1"/>
          <w:u w:color="000000" w:themeColor="text1"/>
        </w:rPr>
        <w:noBreakHyphen/>
      </w:r>
      <w:r w:rsidRPr="00473C39">
        <w:rPr>
          <w:rFonts w:eastAsia="Calibri" w:cs="Times New Roman"/>
          <w:color w:val="000000"/>
          <w:u w:color="000000"/>
        </w:rPr>
        <w:t>5</w:t>
      </w:r>
      <w:r w:rsidRPr="00473C39">
        <w:rPr>
          <w:rFonts w:cs="Times New Roman"/>
          <w:color w:val="000000" w:themeColor="text1"/>
          <w:u w:color="000000" w:themeColor="text1"/>
        </w:rPr>
        <w:noBreakHyphen/>
      </w:r>
      <w:r w:rsidRPr="00473C39">
        <w:rPr>
          <w:rFonts w:eastAsia="Calibri" w:cs="Times New Roman"/>
          <w:color w:val="000000"/>
          <w:u w:color="000000"/>
        </w:rPr>
        <w:t>110 of the 1976 Code</w:t>
      </w:r>
      <w:r>
        <w:rPr>
          <w:rFonts w:eastAsia="Calibri" w:cs="Times New Roman"/>
          <w:color w:val="000000"/>
          <w:u w:color="000000"/>
        </w:rPr>
        <w:t>, as last amended by Act 346 of 2008,</w:t>
      </w:r>
      <w:r w:rsidRPr="00473C39">
        <w:rPr>
          <w:rFonts w:eastAsia="Calibri" w:cs="Times New Roman"/>
          <w:color w:val="000000"/>
          <w:u w:color="000000"/>
        </w:rPr>
        <w:t xml:space="preserve"> is </w:t>
      </w:r>
      <w:r>
        <w:rPr>
          <w:rFonts w:eastAsia="Calibri" w:cs="Times New Roman"/>
          <w:color w:val="000000"/>
          <w:u w:color="000000"/>
        </w:rPr>
        <w:t xml:space="preserve">further </w:t>
      </w:r>
      <w:r w:rsidRPr="00473C39">
        <w:rPr>
          <w:rFonts w:eastAsia="Calibri" w:cs="Times New Roman"/>
          <w:color w:val="000000"/>
          <w:u w:color="000000"/>
        </w:rPr>
        <w:t>amended to read:</w:t>
      </w: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73C39">
        <w:rPr>
          <w:rFonts w:eastAsia="Calibri" w:cs="Times New Roman"/>
          <w:color w:val="000000"/>
          <w:u w:color="000000"/>
        </w:rPr>
        <w:tab/>
      </w:r>
      <w:r w:rsidRPr="00473C39">
        <w:rPr>
          <w:rFonts w:cs="Times New Roman"/>
          <w:color w:val="000000" w:themeColor="text1"/>
          <w:u w:color="000000" w:themeColor="text1"/>
        </w:rPr>
        <w:t>“</w:t>
      </w:r>
      <w:r w:rsidRPr="00473C39">
        <w:rPr>
          <w:rFonts w:eastAsia="Calibri" w:cs="Times New Roman"/>
          <w:color w:val="000000"/>
          <w:u w:color="000000"/>
        </w:rPr>
        <w:t>Section 22</w:t>
      </w:r>
      <w:r w:rsidRPr="00473C39">
        <w:rPr>
          <w:rFonts w:cs="Times New Roman"/>
          <w:color w:val="000000" w:themeColor="text1"/>
          <w:u w:color="000000" w:themeColor="text1"/>
        </w:rPr>
        <w:noBreakHyphen/>
      </w:r>
      <w:r w:rsidRPr="00473C39">
        <w:rPr>
          <w:rFonts w:eastAsia="Calibri" w:cs="Times New Roman"/>
          <w:color w:val="000000"/>
          <w:u w:color="000000"/>
        </w:rPr>
        <w:t>5</w:t>
      </w:r>
      <w:r w:rsidRPr="00473C39">
        <w:rPr>
          <w:rFonts w:cs="Times New Roman"/>
          <w:color w:val="000000" w:themeColor="text1"/>
          <w:u w:color="000000" w:themeColor="text1"/>
        </w:rPr>
        <w:noBreakHyphen/>
      </w:r>
      <w:r w:rsidRPr="00473C39">
        <w:rPr>
          <w:rFonts w:eastAsia="Calibri" w:cs="Times New Roman"/>
          <w:color w:val="000000"/>
          <w:u w:color="000000"/>
        </w:rPr>
        <w:t>110.</w:t>
      </w:r>
      <w:r>
        <w:rPr>
          <w:rFonts w:eastAsia="Calibri" w:cs="Times New Roman"/>
          <w:color w:val="000000"/>
          <w:u w:color="000000"/>
        </w:rPr>
        <w:tab/>
      </w:r>
      <w:r>
        <w:rPr>
          <w:rFonts w:eastAsia="Calibri" w:cs="Times New Roman"/>
          <w:color w:val="000000"/>
          <w:u w:color="000000"/>
        </w:rPr>
        <w:tab/>
      </w:r>
      <w:r w:rsidRPr="00473C39">
        <w:rPr>
          <w:rFonts w:eastAsia="Calibri" w:cs="Times New Roman"/>
          <w:color w:val="000000"/>
          <w:u w:color="000000"/>
        </w:rPr>
        <w:t>(A)</w:t>
      </w:r>
      <w:r w:rsidRPr="00473C39">
        <w:rPr>
          <w:rFonts w:eastAsia="Calibri" w:cs="Times New Roman"/>
          <w:color w:val="000000"/>
          <w:u w:color="000000"/>
        </w:rPr>
        <w:tab/>
        <w:t>Magistrates shall</w:t>
      </w:r>
      <w:r w:rsidRPr="00473C39">
        <w:rPr>
          <w:rFonts w:eastAsia="Calibri" w:cs="Times New Roman"/>
          <w:color w:val="000000"/>
        </w:rPr>
        <w:t>:</w:t>
      </w: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73C39">
        <w:rPr>
          <w:rFonts w:eastAsia="Calibri" w:cs="Times New Roman"/>
          <w:color w:val="000000"/>
          <w:u w:color="000000"/>
        </w:rPr>
        <w:tab/>
      </w:r>
      <w:r w:rsidRPr="00473C39">
        <w:rPr>
          <w:rFonts w:eastAsia="Calibri" w:cs="Times New Roman"/>
          <w:color w:val="000000"/>
          <w:u w:color="000000"/>
        </w:rPr>
        <w:tab/>
      </w:r>
      <w:r w:rsidRPr="00473C39">
        <w:rPr>
          <w:rFonts w:eastAsia="Calibri" w:cs="Times New Roman"/>
          <w:color w:val="000000"/>
        </w:rPr>
        <w:t>(1)</w:t>
      </w:r>
      <w:r w:rsidRPr="00473C39">
        <w:rPr>
          <w:rFonts w:eastAsia="Calibri" w:cs="Times New Roman"/>
          <w:color w:val="000000"/>
        </w:rPr>
        <w:tab/>
      </w:r>
      <w:r w:rsidRPr="00473C39">
        <w:rPr>
          <w:rFonts w:eastAsia="Calibri" w:cs="Times New Roman"/>
          <w:color w:val="000000"/>
          <w:u w:color="000000"/>
        </w:rPr>
        <w:t>cause to be arrested all persons found within their counties charged with any offense and persons who after committing any offense within the county</w:t>
      </w:r>
      <w:r w:rsidRPr="00473C39">
        <w:rPr>
          <w:rFonts w:eastAsia="Calibri"/>
          <w:color w:val="000000"/>
          <w:u w:color="000000"/>
        </w:rPr>
        <w:t xml:space="preserve"> </w:t>
      </w:r>
      <w:r w:rsidRPr="00473C39">
        <w:rPr>
          <w:rFonts w:eastAsia="Calibri" w:cs="Times New Roman"/>
          <w:color w:val="000000"/>
        </w:rPr>
        <w:t>flee</w:t>
      </w:r>
      <w:r w:rsidRPr="00473C39">
        <w:rPr>
          <w:rFonts w:eastAsia="Calibri" w:cs="Times New Roman"/>
          <w:color w:val="000000"/>
          <w:u w:color="000000"/>
        </w:rPr>
        <w:t xml:space="preserve"> out of</w:t>
      </w:r>
      <w:r w:rsidRPr="00473C39">
        <w:rPr>
          <w:rFonts w:eastAsia="Calibri"/>
          <w:color w:val="000000"/>
          <w:u w:color="000000"/>
        </w:rPr>
        <w:t xml:space="preserve"> </w:t>
      </w:r>
      <w:r w:rsidRPr="00473C39">
        <w:rPr>
          <w:rFonts w:eastAsia="Calibri" w:cs="Times New Roman"/>
          <w:color w:val="000000"/>
        </w:rPr>
        <w:t>the county;</w:t>
      </w: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73C39">
        <w:rPr>
          <w:rFonts w:eastAsia="Calibri" w:cs="Times New Roman"/>
          <w:color w:val="000000"/>
          <w:u w:color="000000"/>
        </w:rPr>
        <w:tab/>
      </w:r>
      <w:r w:rsidRPr="00473C39">
        <w:rPr>
          <w:rFonts w:eastAsia="Calibri" w:cs="Times New Roman"/>
          <w:color w:val="000000"/>
          <w:u w:color="000000"/>
        </w:rPr>
        <w:tab/>
      </w:r>
      <w:r w:rsidRPr="00473C39">
        <w:rPr>
          <w:rFonts w:eastAsia="Calibri" w:cs="Times New Roman"/>
          <w:color w:val="000000"/>
        </w:rPr>
        <w:t>(2)</w:t>
      </w:r>
      <w:r w:rsidRPr="00473C39">
        <w:rPr>
          <w:rFonts w:eastAsia="Calibri" w:cs="Times New Roman"/>
          <w:color w:val="000000"/>
          <w:u w:color="000000"/>
        </w:rPr>
        <w:tab/>
        <w:t>examine into treasons, felonies, grand larcenies, high crimes</w:t>
      </w:r>
      <w:r w:rsidRPr="00473C39">
        <w:rPr>
          <w:rFonts w:eastAsia="Calibri" w:cs="Times New Roman"/>
          <w:color w:val="000000"/>
        </w:rPr>
        <w:t>,</w:t>
      </w:r>
      <w:r w:rsidRPr="00473C39">
        <w:rPr>
          <w:rFonts w:eastAsia="Calibri" w:cs="Times New Roman"/>
          <w:color w:val="000000"/>
          <w:u w:color="000000"/>
        </w:rPr>
        <w:t xml:space="preserve"> and misdemeanors</w:t>
      </w:r>
      <w:r w:rsidRPr="00473C39">
        <w:rPr>
          <w:rFonts w:eastAsia="Calibri" w:cs="Times New Roman"/>
          <w:color w:val="000000"/>
        </w:rPr>
        <w:t>;</w:t>
      </w: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73C39">
        <w:rPr>
          <w:rFonts w:eastAsia="Calibri" w:cs="Times New Roman"/>
          <w:color w:val="000000"/>
          <w:u w:color="000000"/>
        </w:rPr>
        <w:tab/>
      </w:r>
      <w:r w:rsidRPr="00473C39">
        <w:rPr>
          <w:rFonts w:eastAsia="Calibri" w:cs="Times New Roman"/>
          <w:color w:val="000000"/>
          <w:u w:color="000000"/>
        </w:rPr>
        <w:tab/>
      </w:r>
      <w:r w:rsidRPr="00473C39">
        <w:rPr>
          <w:rFonts w:eastAsia="Calibri" w:cs="Times New Roman"/>
          <w:color w:val="000000"/>
        </w:rPr>
        <w:t>(3)</w:t>
      </w:r>
      <w:r w:rsidRPr="00473C39">
        <w:rPr>
          <w:rFonts w:eastAsia="Calibri" w:cs="Times New Roman"/>
          <w:color w:val="000000"/>
          <w:u w:color="000000"/>
        </w:rPr>
        <w:tab/>
        <w:t>commit or bind over for trial those who appear to be guilty of crimes or offenses not within their jurisdiction</w:t>
      </w:r>
      <w:r w:rsidRPr="00473C39">
        <w:rPr>
          <w:rFonts w:eastAsia="Calibri" w:cs="Times New Roman"/>
          <w:color w:val="000000"/>
        </w:rPr>
        <w:t>;</w:t>
      </w:r>
      <w:r w:rsidRPr="00473C39">
        <w:rPr>
          <w:rFonts w:eastAsia="Calibri" w:cs="Times New Roman"/>
          <w:color w:val="000000"/>
          <w:u w:color="000000"/>
        </w:rPr>
        <w:t xml:space="preserve"> and </w:t>
      </w: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73C39">
        <w:rPr>
          <w:rFonts w:eastAsia="Calibri" w:cs="Times New Roman"/>
          <w:color w:val="000000"/>
          <w:u w:color="000000"/>
        </w:rPr>
        <w:tab/>
      </w:r>
      <w:r w:rsidRPr="00473C39">
        <w:rPr>
          <w:rFonts w:eastAsia="Calibri" w:cs="Times New Roman"/>
          <w:color w:val="000000"/>
          <w:u w:color="000000"/>
        </w:rPr>
        <w:tab/>
      </w:r>
      <w:r w:rsidRPr="00473C39">
        <w:rPr>
          <w:rFonts w:eastAsia="Calibri" w:cs="Times New Roman"/>
          <w:color w:val="000000"/>
        </w:rPr>
        <w:t>(4)</w:t>
      </w:r>
      <w:r w:rsidRPr="00473C39">
        <w:rPr>
          <w:rFonts w:eastAsia="Calibri" w:cs="Times New Roman"/>
          <w:color w:val="000000"/>
          <w:u w:color="000000"/>
        </w:rPr>
        <w:tab/>
        <w:t>punish those guilty of such offenses within their jurisdiction.</w:t>
      </w: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73C39">
        <w:rPr>
          <w:rFonts w:eastAsia="Times New Roman" w:cs="Times New Roman"/>
          <w:szCs w:val="20"/>
        </w:rPr>
        <w:tab/>
        <w:t>(B)(1)</w:t>
      </w:r>
      <w:r w:rsidRPr="00473C39">
        <w:rPr>
          <w:rFonts w:eastAsia="Times New Roman" w:cs="Times New Roman"/>
          <w:szCs w:val="20"/>
        </w:rPr>
        <w:tab/>
        <w:t>An arrest warrant may not be issued for the arrest of a person unless sought by a law enforcement officer acting in their official capacity.</w:t>
      </w: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73C39">
        <w:rPr>
          <w:rFonts w:eastAsia="Times New Roman" w:cs="Times New Roman"/>
          <w:szCs w:val="20"/>
        </w:rPr>
        <w:tab/>
      </w:r>
      <w:r w:rsidRPr="00473C39">
        <w:rPr>
          <w:rFonts w:eastAsia="Times New Roman" w:cs="Times New Roman"/>
          <w:szCs w:val="20"/>
        </w:rPr>
        <w:tab/>
        <w:t>(2)</w:t>
      </w:r>
      <w:r w:rsidRPr="00473C39">
        <w:rPr>
          <w:rFonts w:eastAsia="Times New Roman" w:cs="Times New Roman"/>
          <w:szCs w:val="20"/>
        </w:rPr>
        <w:tab/>
        <w:t>If an arrest warrant is sought by someone other than a law enforcement officer, the court must issue a courtesy summons.</w:t>
      </w: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473C39">
        <w:rPr>
          <w:rFonts w:eastAsia="Times New Roman" w:cs="Times New Roman"/>
          <w:szCs w:val="20"/>
        </w:rPr>
        <w:tab/>
      </w:r>
      <w:r w:rsidRPr="00473C39">
        <w:rPr>
          <w:rFonts w:eastAsia="Times New Roman" w:cs="Times New Roman"/>
          <w:szCs w:val="20"/>
        </w:rPr>
        <w:tab/>
        <w:t>(3)</w:t>
      </w:r>
      <w:r w:rsidRPr="00473C39">
        <w:rPr>
          <w:rFonts w:eastAsia="Times New Roman" w:cs="Times New Roman"/>
          <w:szCs w:val="20"/>
        </w:rPr>
        <w:tab/>
        <w:t>If a defendant named in a courtesy summons fails to appear before the court pursuant to the summons, the court must issue an arrest warrant for the underlying offense based upon the original sworn statement of the affiant who sought the courtesy summons, provided the sworn statement establishes probable cause that the underlying offense was committed.</w:t>
      </w:r>
      <w:r w:rsidRPr="00473C39">
        <w:rPr>
          <w:rFonts w:eastAsia="Times New Roman" w:cs="Times New Roman"/>
        </w:rPr>
        <w:t>”</w:t>
      </w:r>
    </w:p>
    <w:p w:rsidR="00DC4BED"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C4BED" w:rsidRPr="0032401E"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b/>
          <w:color w:val="000000"/>
          <w:u w:color="000000"/>
        </w:rPr>
      </w:pPr>
      <w:r w:rsidRPr="0032401E">
        <w:rPr>
          <w:rFonts w:eastAsia="Calibri"/>
          <w:b/>
          <w:color w:val="000000"/>
          <w:u w:color="000000"/>
        </w:rPr>
        <w:t>Magistrates, appointment</w:t>
      </w:r>
    </w:p>
    <w:p w:rsidR="00DC4BED"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3C39">
        <w:rPr>
          <w:rFonts w:eastAsia="Calibri" w:cs="Times New Roman"/>
          <w:color w:val="000000"/>
          <w:u w:color="000000"/>
        </w:rPr>
        <w:t>SECTION</w:t>
      </w:r>
      <w:r w:rsidRPr="00473C39">
        <w:rPr>
          <w:rFonts w:eastAsia="Calibri" w:cs="Times New Roman"/>
          <w:color w:val="000000"/>
          <w:u w:color="000000"/>
        </w:rPr>
        <w:tab/>
      </w:r>
      <w:r w:rsidRPr="00473C39">
        <w:rPr>
          <w:rFonts w:cs="Times New Roman"/>
        </w:rPr>
        <w:t>2.</w:t>
      </w:r>
      <w:r w:rsidRPr="00473C39">
        <w:rPr>
          <w:rFonts w:cs="Times New Roman"/>
        </w:rPr>
        <w:tab/>
        <w:t>The first sentence of Section 22</w:t>
      </w:r>
      <w:r w:rsidRPr="00473C39">
        <w:rPr>
          <w:rFonts w:cs="Times New Roman"/>
        </w:rPr>
        <w:noBreakHyphen/>
        <w:t>1</w:t>
      </w:r>
      <w:r w:rsidRPr="00473C39">
        <w:rPr>
          <w:rFonts w:cs="Times New Roman"/>
        </w:rPr>
        <w:noBreakHyphen/>
        <w:t>10(A) of the 1976 Code is amended to read:</w:t>
      </w: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3C39">
        <w:rPr>
          <w:rFonts w:cs="Times New Roman"/>
        </w:rPr>
        <w:tab/>
        <w:t>“(A)</w:t>
      </w:r>
      <w:r w:rsidRPr="00473C39">
        <w:rPr>
          <w:rFonts w:cs="Times New Roman"/>
        </w:rPr>
        <w:tab/>
      </w:r>
      <w:r>
        <w:rPr>
          <w:rFonts w:cs="Times New Roman"/>
        </w:rPr>
        <w:t xml:space="preserve"> </w:t>
      </w:r>
      <w:r w:rsidRPr="00473C39">
        <w:rPr>
          <w:rFonts w:cs="Times New Roman"/>
        </w:rPr>
        <w:t>The Governor, by and with the advice and consent of the Senate, may appoint magistrates in each county of the State for a term of four years and until their successors are appointed and qualified, or their positions are terminated as provided in subsection (B), Section 22</w:t>
      </w:r>
      <w:r w:rsidRPr="00473C39">
        <w:rPr>
          <w:rFonts w:cs="Times New Roman"/>
        </w:rPr>
        <w:noBreakHyphen/>
        <w:t>1</w:t>
      </w:r>
      <w:r w:rsidRPr="00473C39">
        <w:rPr>
          <w:rFonts w:cs="Times New Roman"/>
        </w:rPr>
        <w:noBreakHyphen/>
        <w:t>30, or Section 22</w:t>
      </w:r>
      <w:r w:rsidRPr="00473C39">
        <w:rPr>
          <w:rFonts w:cs="Times New Roman"/>
        </w:rPr>
        <w:noBreakHyphen/>
        <w:t>2</w:t>
      </w:r>
      <w:r w:rsidRPr="00473C39">
        <w:rPr>
          <w:rFonts w:cs="Times New Roman"/>
        </w:rPr>
        <w:noBreakHyphen/>
        <w:t>40.”</w:t>
      </w:r>
    </w:p>
    <w:p w:rsidR="00DC4BED"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4BED"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401E">
        <w:rPr>
          <w:b/>
        </w:rPr>
        <w:t>Magistrates, suspension or removal from office</w:t>
      </w: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73C39">
        <w:rPr>
          <w:rFonts w:cs="Times New Roman"/>
        </w:rPr>
        <w:t>SECTION</w:t>
      </w:r>
      <w:r w:rsidRPr="00473C39">
        <w:rPr>
          <w:rFonts w:cs="Times New Roman"/>
        </w:rPr>
        <w:tab/>
      </w:r>
      <w:r w:rsidRPr="00473C39">
        <w:rPr>
          <w:rFonts w:eastAsia="Times New Roman" w:cs="Times New Roman"/>
          <w:snapToGrid w:val="0"/>
          <w:szCs w:val="20"/>
        </w:rPr>
        <w:t>3.</w:t>
      </w:r>
      <w:r w:rsidRPr="00473C39">
        <w:rPr>
          <w:rFonts w:eastAsia="Times New Roman" w:cs="Times New Roman"/>
          <w:snapToGrid w:val="0"/>
          <w:szCs w:val="20"/>
        </w:rPr>
        <w:tab/>
        <w:t>Section 22</w:t>
      </w:r>
      <w:r w:rsidRPr="00473C39">
        <w:rPr>
          <w:rFonts w:eastAsia="Times New Roman" w:cs="Times New Roman"/>
          <w:snapToGrid w:val="0"/>
        </w:rPr>
        <w:noBreakHyphen/>
      </w:r>
      <w:r w:rsidRPr="00473C39">
        <w:rPr>
          <w:rFonts w:eastAsia="Times New Roman" w:cs="Times New Roman"/>
          <w:snapToGrid w:val="0"/>
          <w:szCs w:val="20"/>
        </w:rPr>
        <w:t>1</w:t>
      </w:r>
      <w:r w:rsidRPr="00473C39">
        <w:rPr>
          <w:rFonts w:eastAsia="Times New Roman" w:cs="Times New Roman"/>
          <w:snapToGrid w:val="0"/>
        </w:rPr>
        <w:noBreakHyphen/>
      </w:r>
      <w:r w:rsidRPr="00473C39">
        <w:rPr>
          <w:rFonts w:eastAsia="Times New Roman" w:cs="Times New Roman"/>
          <w:snapToGrid w:val="0"/>
          <w:szCs w:val="20"/>
        </w:rPr>
        <w:t>30 of the 1976 Code is amended to read:</w:t>
      </w: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73C39">
        <w:rPr>
          <w:rFonts w:eastAsia="Times New Roman" w:cs="Times New Roman"/>
          <w:snapToGrid w:val="0"/>
          <w:szCs w:val="20"/>
        </w:rPr>
        <w:tab/>
      </w:r>
      <w:r w:rsidRPr="00473C39">
        <w:rPr>
          <w:rFonts w:eastAsia="Times New Roman" w:cs="Times New Roman"/>
          <w:snapToGrid w:val="0"/>
        </w:rPr>
        <w:t>“</w:t>
      </w:r>
      <w:r w:rsidRPr="00473C39">
        <w:rPr>
          <w:rFonts w:eastAsia="Times New Roman" w:cs="Times New Roman"/>
          <w:snapToGrid w:val="0"/>
          <w:szCs w:val="20"/>
        </w:rPr>
        <w:t>Section 22</w:t>
      </w:r>
      <w:r w:rsidRPr="00473C39">
        <w:rPr>
          <w:rFonts w:eastAsia="Times New Roman" w:cs="Times New Roman"/>
          <w:snapToGrid w:val="0"/>
        </w:rPr>
        <w:noBreakHyphen/>
      </w:r>
      <w:r w:rsidRPr="00473C39">
        <w:rPr>
          <w:rFonts w:eastAsia="Times New Roman" w:cs="Times New Roman"/>
          <w:snapToGrid w:val="0"/>
          <w:szCs w:val="20"/>
        </w:rPr>
        <w:t>1</w:t>
      </w:r>
      <w:r w:rsidRPr="00473C39">
        <w:rPr>
          <w:rFonts w:eastAsia="Times New Roman" w:cs="Times New Roman"/>
          <w:snapToGrid w:val="0"/>
        </w:rPr>
        <w:noBreakHyphen/>
      </w:r>
      <w:r w:rsidRPr="00473C39">
        <w:rPr>
          <w:rFonts w:eastAsia="Times New Roman" w:cs="Times New Roman"/>
          <w:snapToGrid w:val="0"/>
          <w:szCs w:val="20"/>
        </w:rPr>
        <w:t>30.</w:t>
      </w:r>
      <w:r>
        <w:rPr>
          <w:rFonts w:eastAsia="Times New Roman" w:cs="Times New Roman"/>
          <w:snapToGrid w:val="0"/>
          <w:szCs w:val="20"/>
        </w:rPr>
        <w:tab/>
      </w:r>
      <w:r w:rsidRPr="00473C39">
        <w:rPr>
          <w:rFonts w:eastAsia="Times New Roman" w:cs="Times New Roman"/>
          <w:snapToGrid w:val="0"/>
          <w:szCs w:val="20"/>
        </w:rPr>
        <w:t>(A)</w:t>
      </w:r>
      <w:r w:rsidRPr="00473C39">
        <w:rPr>
          <w:rFonts w:eastAsia="Times New Roman" w:cs="Times New Roman"/>
          <w:snapToGrid w:val="0"/>
          <w:szCs w:val="20"/>
        </w:rPr>
        <w:tab/>
        <w:t>A magistrate may be suspended or removed by order of the Supreme Court pursuant to its rules for incapacity, misconduct, or neglect of duty</w:t>
      </w:r>
      <w:r w:rsidRPr="00473C39">
        <w:rPr>
          <w:rFonts w:eastAsia="Times New Roman"/>
          <w:snapToGrid w:val="0"/>
        </w:rPr>
        <w:t xml:space="preserve">.  </w:t>
      </w:r>
      <w:r w:rsidRPr="00473C39">
        <w:rPr>
          <w:rFonts w:eastAsia="Times New Roman" w:cs="Times New Roman"/>
          <w:snapToGrid w:val="0"/>
          <w:szCs w:val="20"/>
        </w:rPr>
        <w:t>A magistrate</w:t>
      </w:r>
      <w:r w:rsidRPr="00473C39">
        <w:rPr>
          <w:rFonts w:eastAsia="Times New Roman" w:cs="Times New Roman"/>
          <w:snapToGrid w:val="0"/>
        </w:rPr>
        <w:t>’</w:t>
      </w:r>
      <w:r w:rsidRPr="00473C39">
        <w:rPr>
          <w:rFonts w:eastAsia="Times New Roman" w:cs="Times New Roman"/>
          <w:snapToGrid w:val="0"/>
          <w:szCs w:val="20"/>
        </w:rPr>
        <w:t>s failure to retire in accordance with Section 22</w:t>
      </w:r>
      <w:r w:rsidRPr="00473C39">
        <w:rPr>
          <w:rFonts w:eastAsia="Times New Roman" w:cs="Times New Roman"/>
          <w:snapToGrid w:val="0"/>
        </w:rPr>
        <w:noBreakHyphen/>
      </w:r>
      <w:r w:rsidRPr="00473C39">
        <w:rPr>
          <w:rFonts w:eastAsia="Times New Roman" w:cs="Times New Roman"/>
          <w:snapToGrid w:val="0"/>
          <w:szCs w:val="20"/>
        </w:rPr>
        <w:t>1</w:t>
      </w:r>
      <w:r w:rsidRPr="00473C39">
        <w:rPr>
          <w:rFonts w:eastAsia="Times New Roman" w:cs="Times New Roman"/>
          <w:snapToGrid w:val="0"/>
        </w:rPr>
        <w:noBreakHyphen/>
      </w:r>
      <w:r w:rsidRPr="00473C39">
        <w:rPr>
          <w:rFonts w:eastAsia="Times New Roman" w:cs="Times New Roman"/>
          <w:snapToGrid w:val="0"/>
          <w:szCs w:val="20"/>
        </w:rPr>
        <w:t>25 or a magistrate</w:t>
      </w:r>
      <w:r w:rsidRPr="00473C39">
        <w:rPr>
          <w:rFonts w:eastAsia="Times New Roman" w:cs="Times New Roman"/>
          <w:snapToGrid w:val="0"/>
        </w:rPr>
        <w:t>’</w:t>
      </w:r>
      <w:r w:rsidRPr="00473C39">
        <w:rPr>
          <w:rFonts w:eastAsia="Times New Roman" w:cs="Times New Roman"/>
          <w:snapToGrid w:val="0"/>
          <w:szCs w:val="20"/>
        </w:rPr>
        <w:t>s failure to comply with the training and examination requirements of Section 22</w:t>
      </w:r>
      <w:r w:rsidRPr="00473C39">
        <w:rPr>
          <w:rFonts w:eastAsia="Times New Roman" w:cs="Times New Roman"/>
          <w:snapToGrid w:val="0"/>
        </w:rPr>
        <w:noBreakHyphen/>
      </w:r>
      <w:r w:rsidRPr="00473C39">
        <w:rPr>
          <w:rFonts w:eastAsia="Times New Roman" w:cs="Times New Roman"/>
          <w:snapToGrid w:val="0"/>
          <w:szCs w:val="20"/>
        </w:rPr>
        <w:t>1</w:t>
      </w:r>
      <w:r w:rsidRPr="00473C39">
        <w:rPr>
          <w:rFonts w:eastAsia="Times New Roman" w:cs="Times New Roman"/>
          <w:snapToGrid w:val="0"/>
        </w:rPr>
        <w:noBreakHyphen/>
      </w:r>
      <w:r w:rsidRPr="00473C39">
        <w:rPr>
          <w:rFonts w:eastAsia="Times New Roman" w:cs="Times New Roman"/>
          <w:snapToGrid w:val="0"/>
          <w:szCs w:val="20"/>
        </w:rPr>
        <w:t>10(C) may subject the magistrate to suspension or removal by order of the Supreme Court.</w:t>
      </w: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73C39">
        <w:rPr>
          <w:rFonts w:eastAsia="Times New Roman" w:cs="Times New Roman"/>
          <w:snapToGrid w:val="0"/>
          <w:szCs w:val="20"/>
        </w:rPr>
        <w:tab/>
        <w:t>(B)</w:t>
      </w:r>
      <w:r w:rsidRPr="00473C39">
        <w:rPr>
          <w:rFonts w:eastAsia="Times New Roman" w:cs="Times New Roman"/>
          <w:snapToGrid w:val="0"/>
          <w:szCs w:val="20"/>
        </w:rPr>
        <w:tab/>
        <w:t>If a senatorial delegation recommends that the Governor not reappoint a magistrate upon completion of his term of office, the Governor may send a message to the Senate that the magistrate is not reappointed</w:t>
      </w:r>
      <w:r w:rsidRPr="00473C39">
        <w:rPr>
          <w:rFonts w:eastAsia="Times New Roman"/>
          <w:snapToGrid w:val="0"/>
        </w:rPr>
        <w:t xml:space="preserve">.  </w:t>
      </w:r>
      <w:r w:rsidRPr="00473C39">
        <w:rPr>
          <w:rFonts w:eastAsia="Times New Roman" w:cs="Times New Roman"/>
          <w:snapToGrid w:val="0"/>
          <w:szCs w:val="20"/>
        </w:rPr>
        <w:t>Upon receipt of the message, the Senate must ratify the message not to reappoint by the confirmation process</w:t>
      </w:r>
      <w:r w:rsidRPr="00473C39">
        <w:rPr>
          <w:rFonts w:eastAsia="Times New Roman"/>
          <w:snapToGrid w:val="0"/>
        </w:rPr>
        <w:t xml:space="preserve">.  </w:t>
      </w:r>
      <w:r w:rsidRPr="00473C39">
        <w:rPr>
          <w:rFonts w:eastAsia="Times New Roman" w:cs="Times New Roman"/>
          <w:snapToGrid w:val="0"/>
          <w:szCs w:val="20"/>
        </w:rPr>
        <w:t>If the ratification takes place, the magistrate</w:t>
      </w:r>
      <w:r w:rsidRPr="00473C39">
        <w:rPr>
          <w:rFonts w:eastAsia="Times New Roman" w:cs="Times New Roman"/>
          <w:snapToGrid w:val="0"/>
        </w:rPr>
        <w:t>’</w:t>
      </w:r>
      <w:r w:rsidRPr="00473C39">
        <w:rPr>
          <w:rFonts w:eastAsia="Times New Roman" w:cs="Times New Roman"/>
          <w:snapToGrid w:val="0"/>
          <w:szCs w:val="20"/>
        </w:rPr>
        <w:t>s service is terminated at the end of his term and the magistrate does not continue to serve until a successor is appointed</w:t>
      </w:r>
      <w:r w:rsidRPr="00473C39">
        <w:rPr>
          <w:rFonts w:eastAsia="Times New Roman"/>
          <w:snapToGrid w:val="0"/>
        </w:rPr>
        <w:t xml:space="preserve">.  </w:t>
      </w:r>
      <w:r w:rsidRPr="00473C39">
        <w:rPr>
          <w:rFonts w:eastAsia="Times New Roman" w:cs="Times New Roman"/>
          <w:snapToGrid w:val="0"/>
          <w:szCs w:val="20"/>
        </w:rPr>
        <w:t>Notice of the ratification must be sent to the Supreme Court.</w:t>
      </w:r>
      <w:r w:rsidRPr="00473C39">
        <w:rPr>
          <w:rFonts w:eastAsia="Times New Roman" w:cs="Times New Roman"/>
          <w:snapToGrid w:val="0"/>
        </w:rPr>
        <w:t>”</w:t>
      </w:r>
    </w:p>
    <w:p w:rsidR="00DC4BED"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4BED" w:rsidRPr="0032401E"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b/>
          <w:snapToGrid w:val="0"/>
        </w:rPr>
      </w:pPr>
      <w:r w:rsidRPr="0032401E">
        <w:rPr>
          <w:rFonts w:eastAsia="Times New Roman"/>
          <w:b/>
          <w:snapToGrid w:val="0"/>
        </w:rPr>
        <w:t>Magistrates, number and location</w:t>
      </w: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73C39">
        <w:rPr>
          <w:rFonts w:eastAsia="Times New Roman" w:cs="Times New Roman"/>
          <w:snapToGrid w:val="0"/>
          <w:szCs w:val="20"/>
        </w:rPr>
        <w:t>SECTION</w:t>
      </w:r>
      <w:r w:rsidRPr="00473C39">
        <w:rPr>
          <w:rFonts w:eastAsia="Times New Roman" w:cs="Times New Roman"/>
          <w:snapToGrid w:val="0"/>
          <w:szCs w:val="20"/>
        </w:rPr>
        <w:tab/>
        <w:t>4.</w:t>
      </w:r>
      <w:r w:rsidRPr="00473C39">
        <w:rPr>
          <w:rFonts w:eastAsia="Times New Roman" w:cs="Times New Roman"/>
          <w:snapToGrid w:val="0"/>
          <w:szCs w:val="20"/>
        </w:rPr>
        <w:tab/>
        <w:t>Section 22</w:t>
      </w:r>
      <w:r w:rsidRPr="00473C39">
        <w:rPr>
          <w:rFonts w:eastAsia="Times New Roman" w:cs="Times New Roman"/>
          <w:snapToGrid w:val="0"/>
        </w:rPr>
        <w:noBreakHyphen/>
      </w:r>
      <w:r w:rsidRPr="00473C39">
        <w:rPr>
          <w:rFonts w:eastAsia="Times New Roman" w:cs="Times New Roman"/>
          <w:snapToGrid w:val="0"/>
          <w:szCs w:val="20"/>
        </w:rPr>
        <w:t>2</w:t>
      </w:r>
      <w:r w:rsidRPr="00473C39">
        <w:rPr>
          <w:rFonts w:eastAsia="Times New Roman" w:cs="Times New Roman"/>
          <w:snapToGrid w:val="0"/>
        </w:rPr>
        <w:noBreakHyphen/>
      </w:r>
      <w:r w:rsidRPr="00473C39">
        <w:rPr>
          <w:rFonts w:eastAsia="Times New Roman" w:cs="Times New Roman"/>
          <w:snapToGrid w:val="0"/>
          <w:szCs w:val="20"/>
        </w:rPr>
        <w:t>40(C) of the 1976 Code is amended to read:</w:t>
      </w: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3C39">
        <w:rPr>
          <w:rFonts w:cs="Times New Roman"/>
          <w:bCs/>
        </w:rPr>
        <w:tab/>
        <w:t>“</w:t>
      </w:r>
      <w:r w:rsidRPr="00473C39">
        <w:rPr>
          <w:rFonts w:cs="Times New Roman"/>
        </w:rPr>
        <w:t>(C)</w:t>
      </w:r>
      <w:r w:rsidRPr="00473C39">
        <w:rPr>
          <w:rFonts w:cs="Times New Roman"/>
        </w:rPr>
        <w:tab/>
        <w:t>Notwithstanding the provisions of subsection (A), Section 22</w:t>
      </w:r>
      <w:r w:rsidRPr="00473C39">
        <w:rPr>
          <w:rFonts w:cs="Times New Roman"/>
        </w:rPr>
        <w:noBreakHyphen/>
        <w:t>1</w:t>
      </w:r>
      <w:r w:rsidRPr="00473C39">
        <w:rPr>
          <w:rFonts w:cs="Times New Roman"/>
        </w:rPr>
        <w:noBreakHyphen/>
        <w:t>10(A), or Section 22</w:t>
      </w:r>
      <w:r w:rsidRPr="00473C39">
        <w:rPr>
          <w:rFonts w:cs="Times New Roman"/>
        </w:rPr>
        <w:noBreakHyphen/>
        <w:t>8</w:t>
      </w:r>
      <w:r w:rsidRPr="00473C39">
        <w:rPr>
          <w:rFonts w:cs="Times New Roman"/>
        </w:rPr>
        <w:noBreakHyphen/>
        <w:t>40(C) and (D), the number, location, and full</w:t>
      </w:r>
      <w:r w:rsidRPr="00473C39">
        <w:rPr>
          <w:rFonts w:cs="Times New Roman"/>
        </w:rPr>
        <w:noBreakHyphen/>
        <w:t>time or part</w:t>
      </w:r>
      <w:r w:rsidRPr="00473C39">
        <w:rPr>
          <w:rFonts w:cs="Times New Roman"/>
        </w:rPr>
        <w:noBreakHyphen/>
        <w:t>time status of magistrates in the county may be increased or decreased from the required and permissive provisions in Section 22</w:t>
      </w:r>
      <w:r w:rsidRPr="00473C39">
        <w:rPr>
          <w:rFonts w:cs="Times New Roman"/>
        </w:rPr>
        <w:noBreakHyphen/>
        <w:t>8</w:t>
      </w:r>
      <w:r w:rsidRPr="00473C39">
        <w:rPr>
          <w:rFonts w:cs="Times New Roman"/>
        </w:rPr>
        <w:noBreakHyphen/>
        <w:t xml:space="preserve">40(C) and (D) </w:t>
      </w:r>
      <w:r w:rsidRPr="00473C39">
        <w:rPr>
          <w:rFonts w:cs="Times New Roman"/>
          <w:bCs/>
        </w:rPr>
        <w:t>as provided in Section 22</w:t>
      </w:r>
      <w:r w:rsidRPr="00473C39">
        <w:rPr>
          <w:rFonts w:cs="Times New Roman"/>
          <w:bCs/>
        </w:rPr>
        <w:noBreakHyphen/>
        <w:t>1</w:t>
      </w:r>
      <w:r w:rsidRPr="00473C39">
        <w:rPr>
          <w:rFonts w:cs="Times New Roman"/>
          <w:bCs/>
        </w:rPr>
        <w:noBreakHyphen/>
        <w:t xml:space="preserve">30(B), or </w:t>
      </w:r>
      <w:r w:rsidRPr="00473C39">
        <w:rPr>
          <w:rFonts w:cs="Times New Roman"/>
        </w:rPr>
        <w:t>by filing with court administration a written agreement between the members of the Senate delegation for the county and the county governing body; however, a magistrate’s compensation must not be decreased during his term in office.”</w:t>
      </w:r>
    </w:p>
    <w:p w:rsidR="00DC4BED"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4BED" w:rsidRPr="00FC1EB0"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C1EB0">
        <w:rPr>
          <w:rFonts w:cs="Times New Roman"/>
          <w:b/>
        </w:rPr>
        <w:t>Time effective</w:t>
      </w:r>
    </w:p>
    <w:p w:rsidR="00DC4BED" w:rsidRPr="00473C39" w:rsidRDefault="00DC4BED"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4BED" w:rsidRPr="00473C39" w:rsidRDefault="00DC4BED" w:rsidP="00DC4BED">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473C39">
        <w:t>SECTION</w:t>
      </w:r>
      <w:r w:rsidRPr="00473C39">
        <w:tab/>
        <w:t>5.</w:t>
      </w:r>
      <w:r w:rsidRPr="00473C39">
        <w:tab/>
        <w:t>This act takes effect upon approval by the Governor.</w:t>
      </w:r>
    </w:p>
    <w:p w:rsidR="00DC4BED" w:rsidRDefault="00DC4BED" w:rsidP="00DC4BED">
      <w:pPr>
        <w:tabs>
          <w:tab w:val="left" w:pos="1440"/>
          <w:tab w:val="left" w:pos="1800"/>
          <w:tab w:val="left" w:pos="2880"/>
        </w:tabs>
        <w:rPr>
          <w:color w:val="000000" w:themeColor="text1"/>
        </w:rPr>
      </w:pPr>
    </w:p>
    <w:p w:rsidR="00DC4BED" w:rsidRDefault="00DC4BED" w:rsidP="00DC4BED">
      <w:pPr>
        <w:tabs>
          <w:tab w:val="left" w:pos="1440"/>
          <w:tab w:val="left" w:pos="1800"/>
          <w:tab w:val="left" w:pos="2880"/>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June, 2011.</w:t>
      </w:r>
    </w:p>
    <w:p w:rsidR="00DC4BED" w:rsidRDefault="00DC4BED" w:rsidP="00DC4BED">
      <w:pPr>
        <w:tabs>
          <w:tab w:val="left" w:pos="1440"/>
          <w:tab w:val="left" w:pos="1800"/>
          <w:tab w:val="left" w:pos="2880"/>
        </w:tabs>
        <w:rPr>
          <w:color w:val="000000" w:themeColor="text1"/>
        </w:rPr>
      </w:pPr>
    </w:p>
    <w:p w:rsidR="00DC4BED" w:rsidRDefault="00DC4BED" w:rsidP="00DC4BED">
      <w:pPr>
        <w:tabs>
          <w:tab w:val="left" w:pos="1440"/>
          <w:tab w:val="left" w:pos="1800"/>
          <w:tab w:val="left" w:pos="2880"/>
        </w:tabs>
        <w:rPr>
          <w:color w:val="000000" w:themeColor="text1"/>
        </w:rPr>
      </w:pPr>
      <w:r>
        <w:rPr>
          <w:color w:val="000000" w:themeColor="text1"/>
        </w:rPr>
        <w:t>Approved the 28</w:t>
      </w:r>
      <w:r w:rsidRPr="00333F50">
        <w:rPr>
          <w:color w:val="000000" w:themeColor="text1"/>
          <w:vertAlign w:val="superscript"/>
        </w:rPr>
        <w:t>th</w:t>
      </w:r>
      <w:r>
        <w:rPr>
          <w:color w:val="000000" w:themeColor="text1"/>
        </w:rPr>
        <w:t xml:space="preserve"> day of June, 2011. </w:t>
      </w:r>
    </w:p>
    <w:p w:rsidR="00DC4BED" w:rsidRDefault="00DC4BED" w:rsidP="00DC4BED">
      <w:pPr>
        <w:tabs>
          <w:tab w:val="left" w:pos="1440"/>
          <w:tab w:val="left" w:pos="1800"/>
          <w:tab w:val="left" w:pos="2880"/>
        </w:tabs>
        <w:jc w:val="center"/>
        <w:rPr>
          <w:color w:val="000000" w:themeColor="text1"/>
        </w:rPr>
      </w:pPr>
    </w:p>
    <w:p w:rsidR="00DC4BED" w:rsidRDefault="00DC4BED" w:rsidP="00DC4BED">
      <w:pPr>
        <w:tabs>
          <w:tab w:val="left" w:pos="1440"/>
          <w:tab w:val="left" w:pos="1800"/>
          <w:tab w:val="left" w:pos="2880"/>
        </w:tabs>
        <w:jc w:val="center"/>
        <w:rPr>
          <w:color w:val="000000" w:themeColor="text1"/>
        </w:rPr>
      </w:pPr>
      <w:r>
        <w:rPr>
          <w:color w:val="000000" w:themeColor="text1"/>
        </w:rPr>
        <w:t>__________</w:t>
      </w:r>
    </w:p>
    <w:p w:rsidR="008836A5" w:rsidRPr="004A5014" w:rsidRDefault="008836A5" w:rsidP="00DC4B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A5014" w:rsidSect="00401E05">
      <w:footerReference w:type="default" r:id="rId41"/>
      <w:footerReference w:type="first" r:id="rId4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2E1F" w:rsidRDefault="00DF2E1F" w:rsidP="007D5FAC">
      <w:r>
        <w:separator/>
      </w:r>
    </w:p>
  </w:endnote>
  <w:endnote w:type="continuationSeparator" w:id="0">
    <w:p w:rsidR="00DF2E1F" w:rsidRDefault="00DF2E1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05" w:rsidRPr="00401E05" w:rsidRDefault="00401E05" w:rsidP="00401E05">
    <w:pPr>
      <w:pStyle w:val="Footer"/>
      <w:tabs>
        <w:tab w:val="clear" w:pos="4680"/>
        <w:tab w:val="clear" w:pos="9360"/>
        <w:tab w:val="center" w:pos="3168"/>
      </w:tabs>
      <w:spacing w:before="120"/>
    </w:pPr>
    <w:r>
      <w:tab/>
    </w:r>
    <w:r w:rsidR="00ED27CE">
      <w:fldChar w:fldCharType="begin"/>
    </w:r>
    <w:r w:rsidR="00D809E8">
      <w:instrText xml:space="preserve"> PAGE  \* MERGEFORMAT </w:instrText>
    </w:r>
    <w:r w:rsidR="00ED27CE">
      <w:fldChar w:fldCharType="separate"/>
    </w:r>
    <w:r w:rsidR="00DC4BED">
      <w:rPr>
        <w:noProof/>
      </w:rPr>
      <w:t>3</w:t>
    </w:r>
    <w:r w:rsidR="00ED27C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E05" w:rsidRDefault="00401E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2E1F" w:rsidRDefault="00DF2E1F" w:rsidP="007D5FAC">
      <w:r>
        <w:separator/>
      </w:r>
    </w:p>
  </w:footnote>
  <w:footnote w:type="continuationSeparator" w:id="0">
    <w:p w:rsidR="00DF2E1F" w:rsidRDefault="00DF2E1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0"/>
    <w:docVar w:name="ActSecretary" w:val="Barden"/>
    <w:docVar w:name="ActSIdno" w:val="(515)  30CM11"/>
    <w:docVar w:name="clipname" w:val="30CM11"/>
    <w:docVar w:name="dvBillNumber" w:val="30"/>
    <w:docVar w:name="dvBillNumberPrefix" w:val="S"/>
    <w:docVar w:name="dvOriginalBody" w:val="Senate"/>
    <w:docVar w:name="OrigSENATEBillNo" w:val="30"/>
    <w:docVar w:name="SENATEACTFULLPATH" w:val="L:\COUNCIL\ACTS\30CM11.DOCX"/>
    <w:docVar w:name="WhatActtype" w:val="AN ACT"/>
  </w:docVars>
  <w:rsids>
    <w:rsidRoot w:val="00C455E7"/>
    <w:rsid w:val="00002DE0"/>
    <w:rsid w:val="00020349"/>
    <w:rsid w:val="00021B0B"/>
    <w:rsid w:val="00030487"/>
    <w:rsid w:val="00040C05"/>
    <w:rsid w:val="0004579B"/>
    <w:rsid w:val="00051B4F"/>
    <w:rsid w:val="00055653"/>
    <w:rsid w:val="000611B0"/>
    <w:rsid w:val="000673E4"/>
    <w:rsid w:val="0007088D"/>
    <w:rsid w:val="000731E9"/>
    <w:rsid w:val="00074565"/>
    <w:rsid w:val="000749F7"/>
    <w:rsid w:val="00076A1A"/>
    <w:rsid w:val="00077DA3"/>
    <w:rsid w:val="00081300"/>
    <w:rsid w:val="00085C37"/>
    <w:rsid w:val="00086E11"/>
    <w:rsid w:val="00090298"/>
    <w:rsid w:val="000918B7"/>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7D3"/>
    <w:rsid w:val="00136AA0"/>
    <w:rsid w:val="00141278"/>
    <w:rsid w:val="0014525A"/>
    <w:rsid w:val="001519E2"/>
    <w:rsid w:val="00152EBB"/>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5D31"/>
    <w:rsid w:val="00223E0F"/>
    <w:rsid w:val="00231146"/>
    <w:rsid w:val="002321B6"/>
    <w:rsid w:val="00234401"/>
    <w:rsid w:val="00234E70"/>
    <w:rsid w:val="002367D4"/>
    <w:rsid w:val="00241B81"/>
    <w:rsid w:val="00241C04"/>
    <w:rsid w:val="00242F15"/>
    <w:rsid w:val="002515AB"/>
    <w:rsid w:val="00254411"/>
    <w:rsid w:val="00257ACD"/>
    <w:rsid w:val="00267F90"/>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E42A1"/>
    <w:rsid w:val="002F1141"/>
    <w:rsid w:val="002F45B3"/>
    <w:rsid w:val="00304605"/>
    <w:rsid w:val="003049A0"/>
    <w:rsid w:val="00305689"/>
    <w:rsid w:val="0031739F"/>
    <w:rsid w:val="003219FC"/>
    <w:rsid w:val="0032380E"/>
    <w:rsid w:val="00325D1F"/>
    <w:rsid w:val="003307F8"/>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1E05"/>
    <w:rsid w:val="00412B47"/>
    <w:rsid w:val="00414C2A"/>
    <w:rsid w:val="004157C4"/>
    <w:rsid w:val="0041760A"/>
    <w:rsid w:val="00417A9C"/>
    <w:rsid w:val="00423310"/>
    <w:rsid w:val="004247FA"/>
    <w:rsid w:val="00427BCB"/>
    <w:rsid w:val="00430DA3"/>
    <w:rsid w:val="00432E09"/>
    <w:rsid w:val="00435D03"/>
    <w:rsid w:val="004374A9"/>
    <w:rsid w:val="00442137"/>
    <w:rsid w:val="00444F43"/>
    <w:rsid w:val="00445A20"/>
    <w:rsid w:val="00447C2D"/>
    <w:rsid w:val="00451B9A"/>
    <w:rsid w:val="0045270B"/>
    <w:rsid w:val="004666F5"/>
    <w:rsid w:val="00472A5B"/>
    <w:rsid w:val="00481E5B"/>
    <w:rsid w:val="00484DF4"/>
    <w:rsid w:val="00486109"/>
    <w:rsid w:val="0049067C"/>
    <w:rsid w:val="00493DA4"/>
    <w:rsid w:val="004941A4"/>
    <w:rsid w:val="00497784"/>
    <w:rsid w:val="004A073E"/>
    <w:rsid w:val="004A1278"/>
    <w:rsid w:val="004A5014"/>
    <w:rsid w:val="004A5193"/>
    <w:rsid w:val="004A7242"/>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3CCA"/>
    <w:rsid w:val="005515CE"/>
    <w:rsid w:val="00556774"/>
    <w:rsid w:val="00556D79"/>
    <w:rsid w:val="00560EBF"/>
    <w:rsid w:val="005627E7"/>
    <w:rsid w:val="00562952"/>
    <w:rsid w:val="005672F0"/>
    <w:rsid w:val="005741F9"/>
    <w:rsid w:val="00577501"/>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4D0"/>
    <w:rsid w:val="00643998"/>
    <w:rsid w:val="00655550"/>
    <w:rsid w:val="00657AB1"/>
    <w:rsid w:val="00663AC3"/>
    <w:rsid w:val="00672966"/>
    <w:rsid w:val="006750A0"/>
    <w:rsid w:val="006908DB"/>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12F0D"/>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B4874"/>
    <w:rsid w:val="007C3D08"/>
    <w:rsid w:val="007C3EC8"/>
    <w:rsid w:val="007C7B7F"/>
    <w:rsid w:val="007D04D9"/>
    <w:rsid w:val="007D4593"/>
    <w:rsid w:val="007D5FAC"/>
    <w:rsid w:val="007D60DE"/>
    <w:rsid w:val="007E2084"/>
    <w:rsid w:val="007E3A81"/>
    <w:rsid w:val="007F3574"/>
    <w:rsid w:val="007F6631"/>
    <w:rsid w:val="007F6D46"/>
    <w:rsid w:val="007F7184"/>
    <w:rsid w:val="00800AD0"/>
    <w:rsid w:val="00821AAF"/>
    <w:rsid w:val="00831377"/>
    <w:rsid w:val="00832F5E"/>
    <w:rsid w:val="00834B27"/>
    <w:rsid w:val="00835C00"/>
    <w:rsid w:val="00836D7F"/>
    <w:rsid w:val="008379F8"/>
    <w:rsid w:val="00841A98"/>
    <w:rsid w:val="00841BFC"/>
    <w:rsid w:val="008449B6"/>
    <w:rsid w:val="00844A91"/>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C4B11"/>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0A90"/>
    <w:rsid w:val="00A96A62"/>
    <w:rsid w:val="00A9741D"/>
    <w:rsid w:val="00A9744F"/>
    <w:rsid w:val="00AA3A5F"/>
    <w:rsid w:val="00AA3FFC"/>
    <w:rsid w:val="00AA464A"/>
    <w:rsid w:val="00AA4D72"/>
    <w:rsid w:val="00AA64F5"/>
    <w:rsid w:val="00AA73CD"/>
    <w:rsid w:val="00AB199E"/>
    <w:rsid w:val="00AB1AB5"/>
    <w:rsid w:val="00AB2F1E"/>
    <w:rsid w:val="00AB355F"/>
    <w:rsid w:val="00AC0BD6"/>
    <w:rsid w:val="00AC14ED"/>
    <w:rsid w:val="00AD107E"/>
    <w:rsid w:val="00AD33E6"/>
    <w:rsid w:val="00AD3F20"/>
    <w:rsid w:val="00AD422A"/>
    <w:rsid w:val="00AD4887"/>
    <w:rsid w:val="00AE42DA"/>
    <w:rsid w:val="00AE4DFB"/>
    <w:rsid w:val="00AF08CD"/>
    <w:rsid w:val="00AF2080"/>
    <w:rsid w:val="00AF3196"/>
    <w:rsid w:val="00AF3FED"/>
    <w:rsid w:val="00AF7929"/>
    <w:rsid w:val="00AF7A83"/>
    <w:rsid w:val="00B010E0"/>
    <w:rsid w:val="00B11270"/>
    <w:rsid w:val="00B12572"/>
    <w:rsid w:val="00B1669A"/>
    <w:rsid w:val="00B303AC"/>
    <w:rsid w:val="00B374C4"/>
    <w:rsid w:val="00B408FD"/>
    <w:rsid w:val="00B4797F"/>
    <w:rsid w:val="00B516BA"/>
    <w:rsid w:val="00B520A2"/>
    <w:rsid w:val="00B61585"/>
    <w:rsid w:val="00B62CAB"/>
    <w:rsid w:val="00B6334C"/>
    <w:rsid w:val="00B72ED3"/>
    <w:rsid w:val="00B73571"/>
    <w:rsid w:val="00B74177"/>
    <w:rsid w:val="00B83DA1"/>
    <w:rsid w:val="00B846E9"/>
    <w:rsid w:val="00BA4914"/>
    <w:rsid w:val="00BB0732"/>
    <w:rsid w:val="00BB1593"/>
    <w:rsid w:val="00BB43F6"/>
    <w:rsid w:val="00BB54B8"/>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5263"/>
    <w:rsid w:val="00C455E7"/>
    <w:rsid w:val="00C46AB4"/>
    <w:rsid w:val="00C55195"/>
    <w:rsid w:val="00C7071A"/>
    <w:rsid w:val="00C73A60"/>
    <w:rsid w:val="00C74282"/>
    <w:rsid w:val="00C74E9D"/>
    <w:rsid w:val="00C74ED3"/>
    <w:rsid w:val="00C837F6"/>
    <w:rsid w:val="00C92B7D"/>
    <w:rsid w:val="00C92E2B"/>
    <w:rsid w:val="00C94E59"/>
    <w:rsid w:val="00C97CB8"/>
    <w:rsid w:val="00CA23B8"/>
    <w:rsid w:val="00CA4CD7"/>
    <w:rsid w:val="00CB12FE"/>
    <w:rsid w:val="00CB2E91"/>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24E7"/>
    <w:rsid w:val="00D3443A"/>
    <w:rsid w:val="00D366FE"/>
    <w:rsid w:val="00D36CF8"/>
    <w:rsid w:val="00D375C1"/>
    <w:rsid w:val="00D461BE"/>
    <w:rsid w:val="00D474CA"/>
    <w:rsid w:val="00D50FB9"/>
    <w:rsid w:val="00D56467"/>
    <w:rsid w:val="00D63C04"/>
    <w:rsid w:val="00D73DF5"/>
    <w:rsid w:val="00D76225"/>
    <w:rsid w:val="00D7706E"/>
    <w:rsid w:val="00D80303"/>
    <w:rsid w:val="00D809E8"/>
    <w:rsid w:val="00D8576C"/>
    <w:rsid w:val="00D9130B"/>
    <w:rsid w:val="00D92268"/>
    <w:rsid w:val="00D94602"/>
    <w:rsid w:val="00D958BB"/>
    <w:rsid w:val="00DA1730"/>
    <w:rsid w:val="00DA77C1"/>
    <w:rsid w:val="00DB01BE"/>
    <w:rsid w:val="00DB1297"/>
    <w:rsid w:val="00DC093F"/>
    <w:rsid w:val="00DC2E54"/>
    <w:rsid w:val="00DC4BED"/>
    <w:rsid w:val="00DC6CFE"/>
    <w:rsid w:val="00DD198F"/>
    <w:rsid w:val="00DD2595"/>
    <w:rsid w:val="00DD314B"/>
    <w:rsid w:val="00DD3B8D"/>
    <w:rsid w:val="00DD5167"/>
    <w:rsid w:val="00DD557D"/>
    <w:rsid w:val="00DF0E69"/>
    <w:rsid w:val="00DF2E1F"/>
    <w:rsid w:val="00E00FC9"/>
    <w:rsid w:val="00E02CA8"/>
    <w:rsid w:val="00E0528F"/>
    <w:rsid w:val="00E076BB"/>
    <w:rsid w:val="00E14905"/>
    <w:rsid w:val="00E3356F"/>
    <w:rsid w:val="00E33964"/>
    <w:rsid w:val="00E3462F"/>
    <w:rsid w:val="00E36231"/>
    <w:rsid w:val="00E500F1"/>
    <w:rsid w:val="00E5358E"/>
    <w:rsid w:val="00E5665F"/>
    <w:rsid w:val="00E57863"/>
    <w:rsid w:val="00E60357"/>
    <w:rsid w:val="00E61B4C"/>
    <w:rsid w:val="00E6274D"/>
    <w:rsid w:val="00E71D4E"/>
    <w:rsid w:val="00E757F4"/>
    <w:rsid w:val="00E92CD6"/>
    <w:rsid w:val="00E9303D"/>
    <w:rsid w:val="00EA2A3A"/>
    <w:rsid w:val="00EA77B0"/>
    <w:rsid w:val="00EB223A"/>
    <w:rsid w:val="00EC47CE"/>
    <w:rsid w:val="00EC7BF0"/>
    <w:rsid w:val="00ED2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33B9"/>
    <w:rsid w:val="00F669CB"/>
    <w:rsid w:val="00F66E0E"/>
    <w:rsid w:val="00F721C4"/>
    <w:rsid w:val="00F7296A"/>
    <w:rsid w:val="00F86999"/>
    <w:rsid w:val="00FA1013"/>
    <w:rsid w:val="00FA7E14"/>
    <w:rsid w:val="00FB1A6A"/>
    <w:rsid w:val="00FB471B"/>
    <w:rsid w:val="00FB706C"/>
    <w:rsid w:val="00FC1EB0"/>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53786DE9-E9C9-41B8-A93A-ABA47772F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01E0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C455E7"/>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FC1EB0"/>
    <w:rPr>
      <w:rFonts w:ascii="Tahoma" w:hAnsi="Tahoma" w:cs="Tahoma"/>
      <w:sz w:val="16"/>
      <w:szCs w:val="16"/>
    </w:rPr>
  </w:style>
  <w:style w:type="character" w:customStyle="1" w:styleId="BalloonTextChar">
    <w:name w:val="Balloon Text Char"/>
    <w:basedOn w:val="DefaultParagraphFont"/>
    <w:link w:val="BalloonText"/>
    <w:uiPriority w:val="99"/>
    <w:semiHidden/>
    <w:rsid w:val="00FC1EB0"/>
    <w:rPr>
      <w:rFonts w:ascii="Tahoma" w:hAnsi="Tahoma" w:cs="Tahoma"/>
      <w:sz w:val="16"/>
      <w:szCs w:val="16"/>
    </w:rPr>
  </w:style>
  <w:style w:type="table" w:styleId="TableGrid">
    <w:name w:val="Table Grid"/>
    <w:basedOn w:val="TableNormal"/>
    <w:uiPriority w:val="59"/>
    <w:rsid w:val="000749F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01E0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90A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3-30-11.docx" TargetMode="External"/><Relationship Id="rId13" Type="http://schemas.openxmlformats.org/officeDocument/2006/relationships/hyperlink" Target="file:///h:\hj%20archive\2011\04-06-11.docx" TargetMode="External"/><Relationship Id="rId18" Type="http://schemas.openxmlformats.org/officeDocument/2006/relationships/hyperlink" Target="file:///h:\hj%20archive\2011\05-25-11.docx" TargetMode="External"/><Relationship Id="rId26" Type="http://schemas.openxmlformats.org/officeDocument/2006/relationships/hyperlink" Target="file:///h:\sj%20archive\2011\06-14-11.docx" TargetMode="External"/><Relationship Id="rId39" Type="http://schemas.openxmlformats.org/officeDocument/2006/relationships/hyperlink" Target="file:///p:\pprever\2011-12\30_20110601.docx" TargetMode="External"/><Relationship Id="rId3" Type="http://schemas.openxmlformats.org/officeDocument/2006/relationships/webSettings" Target="webSettings.xml"/><Relationship Id="rId21" Type="http://schemas.openxmlformats.org/officeDocument/2006/relationships/hyperlink" Target="file:///h:\hj%20archive\2011\05-26-11.docx" TargetMode="External"/><Relationship Id="rId34" Type="http://schemas.openxmlformats.org/officeDocument/2006/relationships/hyperlink" Target="file:///p:\pprever\2011-12\30_20110330.docx" TargetMode="External"/><Relationship Id="rId42" Type="http://schemas.openxmlformats.org/officeDocument/2006/relationships/footer" Target="footer2.xml"/><Relationship Id="rId7" Type="http://schemas.openxmlformats.org/officeDocument/2006/relationships/hyperlink" Target="file:///h:\sj%20archive\2011\01-11-11.docx" TargetMode="External"/><Relationship Id="rId12" Type="http://schemas.openxmlformats.org/officeDocument/2006/relationships/hyperlink" Target="file:///h:\sj%20archive\2011\04-06-11.docx" TargetMode="External"/><Relationship Id="rId17" Type="http://schemas.openxmlformats.org/officeDocument/2006/relationships/hyperlink" Target="file:///h:\hj%20archive\2011\05-24-11.docx" TargetMode="External"/><Relationship Id="rId25" Type="http://schemas.openxmlformats.org/officeDocument/2006/relationships/hyperlink" Target="file:///h:\hj%20archive\2011\06-02-11.docx" TargetMode="External"/><Relationship Id="rId33" Type="http://schemas.openxmlformats.org/officeDocument/2006/relationships/hyperlink" Target="file:///p:\pprever\2011-12\30_20101201.docx" TargetMode="External"/><Relationship Id="rId38" Type="http://schemas.openxmlformats.org/officeDocument/2006/relationships/hyperlink" Target="file:///p:\pprever\2011-12\30_20110525.docx" TargetMode="External"/><Relationship Id="rId2" Type="http://schemas.openxmlformats.org/officeDocument/2006/relationships/settings" Target="settings.xml"/><Relationship Id="rId16" Type="http://schemas.openxmlformats.org/officeDocument/2006/relationships/hyperlink" Target="file:///h:\hj%20archive\2011\05-24-11.docx" TargetMode="External"/><Relationship Id="rId20" Type="http://schemas.openxmlformats.org/officeDocument/2006/relationships/hyperlink" Target="file:///h:\hj%20archive\2011\05-25-11.docx" TargetMode="External"/><Relationship Id="rId29" Type="http://schemas.openxmlformats.org/officeDocument/2006/relationships/hyperlink" Target="file:///h:\sj%20archive\2011\06-22-11.docx" TargetMode="External"/><Relationship Id="rId41"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sj%20archive\2011\04-05-11.docx" TargetMode="External"/><Relationship Id="rId24" Type="http://schemas.openxmlformats.org/officeDocument/2006/relationships/hyperlink" Target="file:///h:\sj%20archive\2011\06-01-11.docx" TargetMode="External"/><Relationship Id="rId32" Type="http://schemas.openxmlformats.org/officeDocument/2006/relationships/hyperlink" Target="file:///h:\sj%20archive\2011\06-22-11.docx" TargetMode="External"/><Relationship Id="rId37" Type="http://schemas.openxmlformats.org/officeDocument/2006/relationships/hyperlink" Target="file:///p:\pprever\2011-12\30_20110518.docx" TargetMode="External"/><Relationship Id="rId40" Type="http://schemas.openxmlformats.org/officeDocument/2006/relationships/hyperlink" Target="file:///p:\pprever\2011-12\30_20110622.docx" TargetMode="External"/><Relationship Id="rId5" Type="http://schemas.openxmlformats.org/officeDocument/2006/relationships/endnotes" Target="endnotes.xml"/><Relationship Id="rId15" Type="http://schemas.openxmlformats.org/officeDocument/2006/relationships/hyperlink" Target="file:///h:\hj%20archive\2011\05-18-11.docx" TargetMode="External"/><Relationship Id="rId23" Type="http://schemas.openxmlformats.org/officeDocument/2006/relationships/hyperlink" Target="file:///h:\sj%20archive\2011\06-01-11.docx" TargetMode="External"/><Relationship Id="rId28" Type="http://schemas.openxmlformats.org/officeDocument/2006/relationships/hyperlink" Target="file:///h:\hj%20archive\2011\06-22-11.docx" TargetMode="External"/><Relationship Id="rId36" Type="http://schemas.openxmlformats.org/officeDocument/2006/relationships/hyperlink" Target="file:///p:\pprever\2011-12\30_20110401.docx" TargetMode="External"/><Relationship Id="rId10" Type="http://schemas.openxmlformats.org/officeDocument/2006/relationships/hyperlink" Target="file:///h:\sj%20archive\2011\04-05-11.docx" TargetMode="External"/><Relationship Id="rId19" Type="http://schemas.openxmlformats.org/officeDocument/2006/relationships/hyperlink" Target="file:///h:\hj%20archive\2011\05-25-11.docx" TargetMode="External"/><Relationship Id="rId31" Type="http://schemas.openxmlformats.org/officeDocument/2006/relationships/hyperlink" Target="file:///h:\hj%20archive\2011\06-22-11.docx" TargetMode="External"/><Relationship Id="rId44"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1\03-31-11.docx" TargetMode="External"/><Relationship Id="rId14" Type="http://schemas.openxmlformats.org/officeDocument/2006/relationships/hyperlink" Target="file:///h:\hj%20archive\2011\04-06-11.docx" TargetMode="External"/><Relationship Id="rId22" Type="http://schemas.openxmlformats.org/officeDocument/2006/relationships/hyperlink" Target="file:///h:\sj%20archive\2011\06-01-11.docx" TargetMode="External"/><Relationship Id="rId27" Type="http://schemas.openxmlformats.org/officeDocument/2006/relationships/hyperlink" Target="file:///h:\hj%20archive\2011\06-14-11.docx" TargetMode="External"/><Relationship Id="rId30" Type="http://schemas.openxmlformats.org/officeDocument/2006/relationships/hyperlink" Target="file:///h:\sj%20archive\2011\06-22-11.docx" TargetMode="External"/><Relationship Id="rId35" Type="http://schemas.openxmlformats.org/officeDocument/2006/relationships/hyperlink" Target="file:///p:\pprever\2011-12\30_20110331.doc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1253</Words>
  <Characters>6984</Characters>
  <Application>Microsoft Office Word</Application>
  <DocSecurity>4</DocSecurity>
  <Lines>196</Lines>
  <Paragraphs>87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30: Magistrates' powers and duties - South Carolina Legislature Online</dc:title>
  <dc:subject/>
  <dc:creator>SandyBarden</dc:creator>
  <cp:keywords/>
  <dc:description/>
  <cp:lastModifiedBy>N Cumfer</cp:lastModifiedBy>
  <cp:revision>2</cp:revision>
  <cp:lastPrinted>2011-06-22T22:37:00Z</cp:lastPrinted>
  <dcterms:created xsi:type="dcterms:W3CDTF">2014-11-21T20:24:00Z</dcterms:created>
  <dcterms:modified xsi:type="dcterms:W3CDTF">2014-11-21T20:24:00Z</dcterms:modified>
</cp:coreProperties>
</file>