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234D" w:rsidRDefault="009B234D" w:rsidP="009B234D">
      <w:pPr>
        <w:widowControl w:val="0"/>
        <w:jc w:val="center"/>
      </w:pPr>
      <w:bookmarkStart w:id="0" w:name="_GoBack"/>
      <w:bookmarkEnd w:id="0"/>
      <w:r w:rsidRPr="009B234D">
        <w:rPr>
          <w:b/>
        </w:rPr>
        <w:t>South Carolina General Assembly</w:t>
      </w:r>
    </w:p>
    <w:p w:rsidR="009B234D" w:rsidRDefault="009B234D" w:rsidP="009B234D">
      <w:pPr>
        <w:widowControl w:val="0"/>
        <w:jc w:val="center"/>
      </w:pPr>
      <w:r>
        <w:t>119th Session, 2011-2012</w:t>
      </w:r>
    </w:p>
    <w:p w:rsidR="009B234D" w:rsidRDefault="009B234D" w:rsidP="009B234D">
      <w:pPr>
        <w:widowControl w:val="0"/>
        <w:jc w:val="left"/>
      </w:pPr>
    </w:p>
    <w:p w:rsidR="009B234D" w:rsidRDefault="009B234D" w:rsidP="009B234D">
      <w:pPr>
        <w:widowControl w:val="0"/>
        <w:jc w:val="left"/>
        <w:rPr>
          <w:b/>
        </w:rPr>
      </w:pPr>
      <w:r w:rsidRPr="009B234D">
        <w:rPr>
          <w:b/>
        </w:rPr>
        <w:t>H. 3135</w:t>
      </w:r>
    </w:p>
    <w:p w:rsidR="009B234D" w:rsidRDefault="009B234D" w:rsidP="009B234D">
      <w:pPr>
        <w:widowControl w:val="0"/>
        <w:jc w:val="left"/>
        <w:rPr>
          <w:b/>
        </w:rPr>
      </w:pPr>
    </w:p>
    <w:p w:rsidR="009B234D" w:rsidRDefault="009B234D" w:rsidP="009B234D">
      <w:pPr>
        <w:widowControl w:val="0"/>
        <w:jc w:val="left"/>
      </w:pPr>
      <w:r w:rsidRPr="009B234D">
        <w:rPr>
          <w:b/>
        </w:rPr>
        <w:t>STATUS INFORMATION</w:t>
      </w:r>
    </w:p>
    <w:p w:rsidR="009B234D" w:rsidRDefault="009B234D" w:rsidP="009B234D">
      <w:pPr>
        <w:widowControl w:val="0"/>
        <w:jc w:val="left"/>
      </w:pPr>
    </w:p>
    <w:p w:rsidR="009B234D" w:rsidRDefault="009B234D" w:rsidP="009B234D">
      <w:pPr>
        <w:widowControl w:val="0"/>
        <w:jc w:val="left"/>
      </w:pPr>
      <w:r>
        <w:t>General Bill</w:t>
      </w:r>
    </w:p>
    <w:p w:rsidR="009B234D" w:rsidRDefault="00FF3860" w:rsidP="009B234D">
      <w:pPr>
        <w:widowControl w:val="0"/>
        <w:jc w:val="left"/>
      </w:pPr>
      <w:r>
        <w:t>Sponsors: Reps. Funderburk and Clyburn</w:t>
      </w:r>
    </w:p>
    <w:p w:rsidR="009B234D" w:rsidRDefault="009B234D" w:rsidP="009B234D">
      <w:pPr>
        <w:widowControl w:val="0"/>
        <w:jc w:val="left"/>
      </w:pPr>
      <w:r>
        <w:t>Document Path: l:\council\bills\ms\7058ahb11.docx</w:t>
      </w:r>
    </w:p>
    <w:p w:rsidR="009B234D" w:rsidRDefault="009B234D" w:rsidP="009B234D">
      <w:pPr>
        <w:widowControl w:val="0"/>
        <w:jc w:val="left"/>
      </w:pPr>
    </w:p>
    <w:p w:rsidR="00FD346B" w:rsidRDefault="00FD346B" w:rsidP="009B234D">
      <w:pPr>
        <w:widowControl w:val="0"/>
        <w:jc w:val="left"/>
      </w:pPr>
      <w:r>
        <w:t>Introduced in the House on January 11, 2011</w:t>
      </w:r>
    </w:p>
    <w:p w:rsidR="00FD346B" w:rsidRPr="00FD346B" w:rsidRDefault="00FD346B" w:rsidP="009B234D">
      <w:pPr>
        <w:widowControl w:val="0"/>
        <w:jc w:val="left"/>
      </w:pPr>
      <w:r>
        <w:t xml:space="preserve">Currently residing in the House Committee on </w:t>
      </w:r>
      <w:r w:rsidRPr="00FD346B">
        <w:rPr>
          <w:b/>
        </w:rPr>
        <w:t>Judiciary</w:t>
      </w:r>
    </w:p>
    <w:p w:rsidR="00FD346B" w:rsidRDefault="00FD346B" w:rsidP="009B234D">
      <w:pPr>
        <w:widowControl w:val="0"/>
        <w:jc w:val="left"/>
      </w:pPr>
    </w:p>
    <w:p w:rsidR="009B234D" w:rsidRDefault="009B234D" w:rsidP="009B234D">
      <w:pPr>
        <w:widowControl w:val="0"/>
        <w:jc w:val="left"/>
      </w:pPr>
      <w:r>
        <w:t xml:space="preserve">Summary: </w:t>
      </w:r>
      <w:r w:rsidR="0008453E">
        <w:t>Probate judges</w:t>
      </w:r>
    </w:p>
    <w:p w:rsidR="009B234D" w:rsidRDefault="009B234D" w:rsidP="009B234D">
      <w:pPr>
        <w:widowControl w:val="0"/>
        <w:jc w:val="left"/>
      </w:pPr>
    </w:p>
    <w:p w:rsidR="009B234D" w:rsidRDefault="009B234D" w:rsidP="009B234D">
      <w:pPr>
        <w:widowControl w:val="0"/>
        <w:jc w:val="left"/>
      </w:pPr>
    </w:p>
    <w:p w:rsidR="009B234D" w:rsidRDefault="009B234D" w:rsidP="009B234D">
      <w:pPr>
        <w:widowControl w:val="0"/>
        <w:tabs>
          <w:tab w:val="center" w:pos="590"/>
          <w:tab w:val="center" w:pos="1440"/>
          <w:tab w:val="left" w:pos="1872"/>
          <w:tab w:val="left" w:pos="9187"/>
        </w:tabs>
        <w:jc w:val="left"/>
      </w:pPr>
      <w:r w:rsidRPr="009B234D">
        <w:rPr>
          <w:b/>
        </w:rPr>
        <w:t>HISTORY OF LEGISLATIVE ACTIONS</w:t>
      </w:r>
    </w:p>
    <w:p w:rsidR="009B234D" w:rsidRDefault="009B234D" w:rsidP="009B234D">
      <w:pPr>
        <w:widowControl w:val="0"/>
        <w:tabs>
          <w:tab w:val="center" w:pos="590"/>
          <w:tab w:val="center" w:pos="1440"/>
          <w:tab w:val="left" w:pos="1872"/>
          <w:tab w:val="left" w:pos="9187"/>
        </w:tabs>
        <w:jc w:val="left"/>
      </w:pPr>
    </w:p>
    <w:p w:rsidR="009B234D" w:rsidRPr="009B234D" w:rsidRDefault="009B234D" w:rsidP="009B234D">
      <w:pPr>
        <w:widowControl w:val="0"/>
        <w:tabs>
          <w:tab w:val="center" w:pos="590"/>
          <w:tab w:val="center" w:pos="1440"/>
          <w:tab w:val="left" w:pos="1872"/>
          <w:tab w:val="left" w:pos="9187"/>
        </w:tabs>
        <w:jc w:val="left"/>
      </w:pPr>
      <w:r w:rsidRPr="009B234D">
        <w:rPr>
          <w:u w:val="single"/>
        </w:rPr>
        <w:tab/>
        <w:t>Date</w:t>
      </w:r>
      <w:r w:rsidRPr="009B234D">
        <w:rPr>
          <w:u w:val="single"/>
        </w:rPr>
        <w:tab/>
        <w:t>Body</w:t>
      </w:r>
      <w:r w:rsidRPr="009B234D">
        <w:rPr>
          <w:u w:val="single"/>
        </w:rPr>
        <w:tab/>
        <w:t>Action Description with journal page number</w:t>
      </w:r>
      <w:r w:rsidRPr="009B234D">
        <w:rPr>
          <w:u w:val="single"/>
        </w:rPr>
        <w:tab/>
      </w:r>
    </w:p>
    <w:p w:rsidR="00335B8C" w:rsidRDefault="00335B8C" w:rsidP="00335B8C">
      <w:pPr>
        <w:widowControl w:val="0"/>
        <w:tabs>
          <w:tab w:val="right" w:pos="1008"/>
          <w:tab w:val="left" w:pos="1152"/>
          <w:tab w:val="left" w:pos="1872"/>
          <w:tab w:val="left" w:pos="9187"/>
        </w:tabs>
        <w:ind w:left="2088" w:hanging="2088"/>
        <w:jc w:val="left"/>
      </w:pPr>
      <w:r>
        <w:tab/>
        <w:t>12/7/2010</w:t>
      </w:r>
      <w:r>
        <w:tab/>
        <w:t>House</w:t>
      </w:r>
      <w:r>
        <w:tab/>
      </w:r>
      <w:r w:rsidRPr="00723308">
        <w:t>Prefiled</w:t>
      </w:r>
    </w:p>
    <w:p w:rsidR="00335B8C" w:rsidRDefault="00335B8C" w:rsidP="00335B8C">
      <w:pPr>
        <w:widowControl w:val="0"/>
        <w:tabs>
          <w:tab w:val="right" w:pos="1008"/>
          <w:tab w:val="left" w:pos="1152"/>
          <w:tab w:val="left" w:pos="1872"/>
          <w:tab w:val="left" w:pos="9187"/>
        </w:tabs>
        <w:ind w:left="2088" w:hanging="2088"/>
        <w:jc w:val="left"/>
      </w:pPr>
      <w:r>
        <w:tab/>
        <w:t>12/7/2010</w:t>
      </w:r>
      <w:r>
        <w:tab/>
        <w:t>House</w:t>
      </w:r>
      <w:r>
        <w:tab/>
      </w:r>
      <w:r w:rsidRPr="00723308">
        <w:t xml:space="preserve">Referred to Committee on </w:t>
      </w:r>
      <w:r w:rsidRPr="00723308">
        <w:rPr>
          <w:b/>
        </w:rPr>
        <w:t>Judiciary</w:t>
      </w:r>
    </w:p>
    <w:p w:rsidR="00335B8C" w:rsidRDefault="00335B8C" w:rsidP="00335B8C">
      <w:pPr>
        <w:widowControl w:val="0"/>
        <w:tabs>
          <w:tab w:val="right" w:pos="1008"/>
          <w:tab w:val="left" w:pos="1152"/>
          <w:tab w:val="left" w:pos="1872"/>
          <w:tab w:val="left" w:pos="9187"/>
        </w:tabs>
        <w:ind w:left="2088" w:hanging="2088"/>
        <w:jc w:val="left"/>
      </w:pPr>
      <w:r>
        <w:tab/>
        <w:t>1/11/2011</w:t>
      </w:r>
      <w:r>
        <w:tab/>
        <w:t>House</w:t>
      </w:r>
      <w:r>
        <w:tab/>
      </w:r>
      <w:r w:rsidRPr="00723308">
        <w:t>Introduced and read first time (</w:t>
      </w:r>
      <w:hyperlink r:id="rId7" w:history="1">
        <w:r w:rsidRPr="00723308">
          <w:rPr>
            <w:rStyle w:val="Hyperlink"/>
          </w:rPr>
          <w:t>House Journal</w:t>
        </w:r>
        <w:r w:rsidRPr="00723308">
          <w:rPr>
            <w:rStyle w:val="Hyperlink"/>
          </w:rPr>
          <w:noBreakHyphen/>
          <w:t>page 59</w:t>
        </w:r>
      </w:hyperlink>
      <w:r w:rsidRPr="00723308">
        <w:t>)</w:t>
      </w:r>
    </w:p>
    <w:p w:rsidR="00335B8C" w:rsidRDefault="00335B8C" w:rsidP="00335B8C">
      <w:pPr>
        <w:widowControl w:val="0"/>
        <w:tabs>
          <w:tab w:val="right" w:pos="1008"/>
          <w:tab w:val="left" w:pos="1152"/>
          <w:tab w:val="left" w:pos="1872"/>
          <w:tab w:val="left" w:pos="9187"/>
        </w:tabs>
        <w:ind w:left="2088" w:hanging="2088"/>
        <w:jc w:val="left"/>
      </w:pPr>
      <w:r>
        <w:tab/>
        <w:t>1/11/2011</w:t>
      </w:r>
      <w:r>
        <w:tab/>
        <w:t>House</w:t>
      </w:r>
      <w:r>
        <w:tab/>
      </w:r>
      <w:r w:rsidRPr="00723308">
        <w:t>Referred t</w:t>
      </w:r>
      <w:r>
        <w:t xml:space="preserve">o Committee on </w:t>
      </w:r>
      <w:r w:rsidRPr="00723308">
        <w:rPr>
          <w:b/>
        </w:rPr>
        <w:t>Judiciary</w:t>
      </w:r>
      <w:r>
        <w:t xml:space="preserve"> (</w:t>
      </w:r>
      <w:hyperlink r:id="rId8" w:history="1">
        <w:r w:rsidRPr="00723308">
          <w:rPr>
            <w:rStyle w:val="Hyperlink"/>
          </w:rPr>
          <w:t>House Journal</w:t>
        </w:r>
        <w:r w:rsidRPr="00723308">
          <w:rPr>
            <w:rStyle w:val="Hyperlink"/>
          </w:rPr>
          <w:noBreakHyphen/>
          <w:t>page 59</w:t>
        </w:r>
      </w:hyperlink>
      <w:r w:rsidRPr="00723308">
        <w:t>)</w:t>
      </w:r>
    </w:p>
    <w:p w:rsidR="00335B8C" w:rsidRDefault="00335B8C" w:rsidP="00335B8C">
      <w:pPr>
        <w:widowControl w:val="0"/>
        <w:tabs>
          <w:tab w:val="right" w:pos="1008"/>
          <w:tab w:val="left" w:pos="1152"/>
          <w:tab w:val="left" w:pos="1872"/>
          <w:tab w:val="left" w:pos="9187"/>
        </w:tabs>
        <w:ind w:left="2088" w:hanging="2088"/>
        <w:jc w:val="left"/>
      </w:pPr>
    </w:p>
    <w:p w:rsidR="009B234D" w:rsidRPr="009B234D" w:rsidRDefault="009B234D" w:rsidP="009B234D">
      <w:pPr>
        <w:widowControl w:val="0"/>
        <w:tabs>
          <w:tab w:val="right" w:pos="1008"/>
          <w:tab w:val="left" w:pos="1152"/>
          <w:tab w:val="left" w:pos="1872"/>
          <w:tab w:val="left" w:pos="9187"/>
        </w:tabs>
        <w:ind w:left="2088" w:hanging="2088"/>
        <w:jc w:val="left"/>
      </w:pPr>
    </w:p>
    <w:p w:rsidR="009B234D" w:rsidRDefault="009B234D" w:rsidP="009B234D">
      <w:pPr>
        <w:widowControl w:val="0"/>
        <w:jc w:val="left"/>
      </w:pPr>
      <w:r w:rsidRPr="009B234D">
        <w:rPr>
          <w:b/>
        </w:rPr>
        <w:t>VERSIONS OF THIS BILL</w:t>
      </w:r>
    </w:p>
    <w:p w:rsidR="009B234D" w:rsidRDefault="009B234D" w:rsidP="009B234D">
      <w:pPr>
        <w:widowControl w:val="0"/>
        <w:jc w:val="left"/>
      </w:pPr>
    </w:p>
    <w:p w:rsidR="009B234D" w:rsidRDefault="009F581E" w:rsidP="009B234D">
      <w:pPr>
        <w:widowControl w:val="0"/>
        <w:jc w:val="left"/>
      </w:pPr>
      <w:hyperlink r:id="rId9" w:history="1">
        <w:r w:rsidR="009B234D">
          <w:rPr>
            <w:rStyle w:val="Hyperlink"/>
          </w:rPr>
          <w:t>12/7/2010</w:t>
        </w:r>
      </w:hyperlink>
    </w:p>
    <w:p w:rsidR="009B234D" w:rsidRDefault="009B234D" w:rsidP="009B234D"/>
    <w:p w:rsidR="009B234D" w:rsidRDefault="009B234D" w:rsidP="009B234D">
      <w:pPr>
        <w:sectPr w:rsidR="009B234D" w:rsidSect="009B234D">
          <w:pgSz w:w="12240" w:h="15840" w:code="1"/>
          <w:pgMar w:top="1080" w:right="1440" w:bottom="1080" w:left="1440" w:header="720" w:footer="720" w:gutter="0"/>
          <w:cols w:space="720"/>
          <w:noEndnote/>
          <w:docGrid w:linePitch="360"/>
        </w:sectPr>
      </w:pPr>
    </w:p>
    <w:p w:rsidR="006D0A5D" w:rsidRDefault="006D0A5D" w:rsidP="006D0A5D">
      <w:pPr>
        <w:pStyle w:val="BillDots"/>
      </w:pPr>
    </w:p>
    <w:p w:rsidR="006D0A5D" w:rsidRDefault="006D0A5D" w:rsidP="006D0A5D">
      <w:pPr>
        <w:pStyle w:val="Numbersforbills"/>
      </w:pPr>
    </w:p>
    <w:p w:rsidR="006D0A5D" w:rsidRDefault="006D0A5D" w:rsidP="006D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A5D" w:rsidRDefault="006D0A5D" w:rsidP="006D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A5D" w:rsidRDefault="006D0A5D" w:rsidP="006D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A5D" w:rsidRDefault="006D0A5D" w:rsidP="006D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A5D" w:rsidRDefault="006D0A5D" w:rsidP="006D0A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2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20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3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14</w:t>
      </w:r>
      <w:r>
        <w:noBreakHyphen/>
        <w:t>23</w:t>
      </w:r>
      <w:r>
        <w:noBreakHyphen/>
        <w:t>1020, CODE OF LAWS OF SOUTH CAROLINA, 1976, RELATING TO THE ELECTION OF PROBATE JUDGES, SO AS TO REQUIRE THE ELECTION OF PROBATE JUDGES TO BE NONPARTISAN, TO PROVIDE FOR NONPARTISAN SPECIAL ELECTIONS WHEN A VACANCY OCCURS, AND TO PROVIDE PROCEDURES FOR THE NOMINATION OF CANDIDATES AND THE CONDUCT OF THE NONPARTISAN ELECTIONS.</w:t>
      </w:r>
    </w:p>
    <w:p w:rsidR="001320DE" w:rsidRDefault="001320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20DE" w:rsidRDefault="001320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20DE" w:rsidRDefault="001320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FA8" w:rsidRDefault="001320DE" w:rsidP="006D3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D3FA8">
        <w:t>Section 14</w:t>
      </w:r>
      <w:r w:rsidR="006D3FA8">
        <w:noBreakHyphen/>
        <w:t>23</w:t>
      </w:r>
      <w:r w:rsidR="006D3FA8">
        <w:noBreakHyphen/>
        <w:t>1020 of the 1976 Code is amended to read:</w:t>
      </w:r>
    </w:p>
    <w:p w:rsidR="006D3FA8" w:rsidRDefault="006D3FA8" w:rsidP="006D3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FA8" w:rsidRDefault="006D3FA8" w:rsidP="006D3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Cs/>
        </w:rPr>
        <w:t>“Section 14</w:t>
      </w:r>
      <w:r>
        <w:rPr>
          <w:bCs/>
        </w:rPr>
        <w:noBreakHyphen/>
        <w:t>23</w:t>
      </w:r>
      <w:r>
        <w:rPr>
          <w:bCs/>
        </w:rPr>
        <w:noBreakHyphen/>
        <w:t>1020.</w:t>
      </w:r>
      <w:r>
        <w:rPr>
          <w:bCs/>
        </w:rPr>
        <w:tab/>
      </w:r>
      <w:r>
        <w:rPr>
          <w:bCs/>
          <w:u w:val="single"/>
        </w:rPr>
        <w:t>(A)</w:t>
      </w:r>
      <w:r>
        <w:rPr>
          <w:bCs/>
        </w:rPr>
        <w:tab/>
      </w:r>
      <w:r>
        <w:t xml:space="preserve">There </w:t>
      </w:r>
      <w:r>
        <w:rPr>
          <w:strike/>
        </w:rPr>
        <w:t>shall</w:t>
      </w:r>
      <w:r>
        <w:t xml:space="preserve"> </w:t>
      </w:r>
      <w:r>
        <w:rPr>
          <w:u w:val="single"/>
        </w:rPr>
        <w:t>must</w:t>
      </w:r>
      <w:r>
        <w:t xml:space="preserve"> be a judge of probate for each probate court.  The probate judge of each county holding office on June 30, 1976, </w:t>
      </w:r>
      <w:r>
        <w:rPr>
          <w:strike/>
        </w:rPr>
        <w:t>shall continue</w:t>
      </w:r>
      <w:r>
        <w:t xml:space="preserve"> </w:t>
      </w:r>
      <w:r>
        <w:rPr>
          <w:u w:val="single"/>
        </w:rPr>
        <w:t>continues</w:t>
      </w:r>
      <w:r>
        <w:t xml:space="preserve"> to be </w:t>
      </w:r>
      <w:r>
        <w:rPr>
          <w:strike/>
        </w:rPr>
        <w:t>such</w:t>
      </w:r>
      <w:r>
        <w:t xml:space="preserve"> </w:t>
      </w:r>
      <w:r>
        <w:rPr>
          <w:u w:val="single"/>
        </w:rPr>
        <w:t>the</w:t>
      </w:r>
      <w:r>
        <w:t xml:space="preserve"> judge of probate until the expiration of his term of office at which time his successor </w:t>
      </w:r>
      <w:r>
        <w:rPr>
          <w:strike/>
        </w:rPr>
        <w:t>shall</w:t>
      </w:r>
      <w:r>
        <w:t xml:space="preserve"> </w:t>
      </w:r>
      <w:r>
        <w:rPr>
          <w:u w:val="single"/>
        </w:rPr>
        <w:t>must</w:t>
      </w:r>
      <w:r>
        <w:t xml:space="preserve"> be selected as provided by law for a term of four years and until his successor is elected and qualifies.  </w:t>
      </w:r>
      <w:r>
        <w:rPr>
          <w:strike/>
        </w:rPr>
        <w:t>Except as otherwise provided by this section, any vacancy in the office of probate judge shall be filled as provided by law.</w:t>
      </w:r>
      <w:r>
        <w:t xml:space="preserve"> </w:t>
      </w:r>
    </w:p>
    <w:p w:rsidR="006D3FA8" w:rsidRDefault="006D3FA8" w:rsidP="006D3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i/>
          <w:iCs/>
        </w:rPr>
        <w:tab/>
      </w:r>
      <w:r>
        <w:rPr>
          <w:u w:val="single"/>
        </w:rPr>
        <w:t>(B)</w:t>
      </w:r>
      <w:r>
        <w:tab/>
      </w:r>
      <w:r>
        <w:rPr>
          <w:u w:val="single"/>
        </w:rPr>
        <w:t>The probate judge of each county must be elected in a nonpartisan election in accordance with the provisions of subsection (A).  Notwithstanding another provision of law, a vacancy in the office of probate judge must be filled in a special election, and this special election must be nonpartisan as provided in this subsection.</w:t>
      </w:r>
    </w:p>
    <w:p w:rsidR="006D3FA8" w:rsidRDefault="006D3FA8" w:rsidP="006D3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Nomination for the office of probate judge is by petition pursuant to the provisions of Section 7</w:t>
      </w:r>
      <w:r>
        <w:rPr>
          <w:u w:val="single"/>
        </w:rPr>
        <w:noBreakHyphen/>
        <w:t>11</w:t>
      </w:r>
      <w:r>
        <w:rPr>
          <w:u w:val="single"/>
        </w:rPr>
        <w:noBreakHyphen/>
        <w:t>70.  The results of the election must be determined by the nonpartisan election and runoff election method prescribed in Section 5</w:t>
      </w:r>
      <w:r>
        <w:rPr>
          <w:u w:val="single"/>
        </w:rPr>
        <w:noBreakHyphen/>
        <w:t>15</w:t>
      </w:r>
      <w:r>
        <w:rPr>
          <w:u w:val="single"/>
        </w:rPr>
        <w:noBreakHyphen/>
        <w:t>62, mutatis mutandis.</w:t>
      </w:r>
      <w:r>
        <w:t>”</w:t>
      </w:r>
    </w:p>
    <w:p w:rsidR="001320DE" w:rsidRDefault="001320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FA8" w:rsidRDefault="001320DE" w:rsidP="006D3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SECTION</w:t>
      </w:r>
      <w:r>
        <w:tab/>
      </w:r>
      <w:r w:rsidR="006D3FA8">
        <w:t>2</w:t>
      </w:r>
      <w:r>
        <w:t>.</w:t>
      </w:r>
      <w:r>
        <w:tab/>
      </w:r>
      <w:r w:rsidR="006D3FA8">
        <w:t>This act takes effect upon approval of the Governor and applies to elections and special elections for the office of probate judge held after 2011.</w:t>
      </w:r>
      <w:r w:rsidR="006D3FA8">
        <w:rPr>
          <w:u w:val="single"/>
        </w:rPr>
        <w:t xml:space="preserve"> </w:t>
      </w:r>
    </w:p>
    <w:p w:rsidR="00EF2AF3" w:rsidRDefault="0010776B" w:rsidP="006D3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2AF3" w:rsidRDefault="00EF2AF3" w:rsidP="009B234D">
      <w:pPr>
        <w:suppressAutoHyphens/>
      </w:pPr>
    </w:p>
    <w:sectPr w:rsidR="00EF2AF3" w:rsidSect="009B234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0DE" w:rsidRDefault="001320DE" w:rsidP="009F0C77">
      <w:r>
        <w:separator/>
      </w:r>
    </w:p>
  </w:endnote>
  <w:endnote w:type="continuationSeparator" w:id="0">
    <w:p w:rsidR="001320DE" w:rsidRDefault="001320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B712A3-11C5-42A4-9C01-0F2D819AEA05}"/>
    <w:embedBold r:id="rId2" w:fontKey="{F323F4E2-CCAE-4099-B1F4-D93AFB9441B4}"/>
    <w:embedItalic r:id="rId3" w:fontKey="{A9585DF8-85E6-4B82-8F7A-E2FB19361212}"/>
  </w:font>
  <w:font w:name="Calibri">
    <w:panose1 w:val="020F0502020204030204"/>
    <w:charset w:val="00"/>
    <w:family w:val="swiss"/>
    <w:pitch w:val="variable"/>
    <w:sig w:usb0="E10002FF" w:usb1="4000ACFF" w:usb2="00000009" w:usb3="00000000" w:csb0="0000019F" w:csb1="00000000"/>
    <w:embedRegular r:id="rId4" w:fontKey="{8D2ACFD5-F06D-4F1B-BC75-A9629E72ED69}"/>
  </w:font>
  <w:font w:name="Tahoma">
    <w:panose1 w:val="020B0604030504040204"/>
    <w:charset w:val="00"/>
    <w:family w:val="swiss"/>
    <w:pitch w:val="variable"/>
    <w:sig w:usb0="21002A87" w:usb1="80000000" w:usb2="00000008" w:usb3="00000000" w:csb0="000101FF" w:csb1="00000000"/>
    <w:embedRegular r:id="rId5" w:fontKey="{992E3819-4544-444E-8727-5A0B087313FF}"/>
  </w:font>
  <w:font w:name="Cambria">
    <w:panose1 w:val="02040503050406030204"/>
    <w:charset w:val="00"/>
    <w:family w:val="roman"/>
    <w:pitch w:val="variable"/>
    <w:sig w:usb0="E00002FF" w:usb1="400004FF" w:usb2="00000000" w:usb3="00000000" w:csb0="0000019F" w:csb1="00000000"/>
    <w:embedRegular r:id="rId6" w:fontKey="{53B66B8E-B134-438B-A5BF-EB3DAA918B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34D" w:rsidRPr="00EF2AF3" w:rsidRDefault="009B234D" w:rsidP="00EF2AF3">
    <w:pPr>
      <w:pStyle w:val="Footer"/>
      <w:tabs>
        <w:tab w:val="clear" w:pos="4680"/>
        <w:tab w:val="clear" w:pos="9360"/>
        <w:tab w:val="center" w:pos="2995"/>
      </w:tabs>
      <w:spacing w:before="120"/>
    </w:pPr>
    <w:r>
      <w:t>[3135]</w:t>
    </w:r>
    <w:r>
      <w:tab/>
    </w:r>
    <w:r w:rsidR="009F581E">
      <w:fldChar w:fldCharType="begin"/>
    </w:r>
    <w:r w:rsidR="009F581E">
      <w:instrText xml:space="preserve"> PAGE  \* MERGEFORMAT </w:instrText>
    </w:r>
    <w:r w:rsidR="009F581E">
      <w:fldChar w:fldCharType="separate"/>
    </w:r>
    <w:r w:rsidR="009F581E">
      <w:rPr>
        <w:noProof/>
      </w:rPr>
      <w:t>1</w:t>
    </w:r>
    <w:r w:rsidR="009F581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0DE" w:rsidRDefault="001320DE" w:rsidP="009F0C77">
      <w:r>
        <w:separator/>
      </w:r>
    </w:p>
  </w:footnote>
  <w:footnote w:type="continuationSeparator" w:id="0">
    <w:p w:rsidR="001320DE" w:rsidRDefault="001320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58AHB11"/>
    <w:docVar w:name="CoverBillType" w:val="b"/>
    <w:docVar w:name="docpath" w:val="L:\Council\bills\MS\7058AHB11.DOCX"/>
    <w:docVar w:name="dvBillNumber" w:val="3135"/>
    <w:docVar w:name="dvBillNumberPrefix" w:val="H. "/>
    <w:docVar w:name="dvOriginalBody" w:val="House"/>
    <w:docVar w:name="dvSteno" w:val="MS"/>
    <w:docVar w:name="NameofBody" w:val="h"/>
    <w:docVar w:name="vgroup2" w:val="Council"/>
  </w:docVars>
  <w:rsids>
    <w:rsidRoot w:val="00E8397C"/>
    <w:rsid w:val="00011869"/>
    <w:rsid w:val="0008453E"/>
    <w:rsid w:val="000E1785"/>
    <w:rsid w:val="000F40FA"/>
    <w:rsid w:val="001026BE"/>
    <w:rsid w:val="0010776B"/>
    <w:rsid w:val="001320DE"/>
    <w:rsid w:val="001326E3"/>
    <w:rsid w:val="00133E66"/>
    <w:rsid w:val="001435A3"/>
    <w:rsid w:val="001926CF"/>
    <w:rsid w:val="001D08F2"/>
    <w:rsid w:val="001D525B"/>
    <w:rsid w:val="001D7F4F"/>
    <w:rsid w:val="002321B6"/>
    <w:rsid w:val="00250967"/>
    <w:rsid w:val="002543C8"/>
    <w:rsid w:val="00284AAE"/>
    <w:rsid w:val="002C3A9C"/>
    <w:rsid w:val="002E5912"/>
    <w:rsid w:val="00315757"/>
    <w:rsid w:val="003234D8"/>
    <w:rsid w:val="00325348"/>
    <w:rsid w:val="0032732C"/>
    <w:rsid w:val="00335B8C"/>
    <w:rsid w:val="00336AD0"/>
    <w:rsid w:val="0037079A"/>
    <w:rsid w:val="003D01E8"/>
    <w:rsid w:val="003E5288"/>
    <w:rsid w:val="003F6D79"/>
    <w:rsid w:val="0041760A"/>
    <w:rsid w:val="00417C01"/>
    <w:rsid w:val="00424613"/>
    <w:rsid w:val="00435BAA"/>
    <w:rsid w:val="00457FEA"/>
    <w:rsid w:val="004809EE"/>
    <w:rsid w:val="004E7D54"/>
    <w:rsid w:val="005273C6"/>
    <w:rsid w:val="00530A69"/>
    <w:rsid w:val="00545593"/>
    <w:rsid w:val="00577C6C"/>
    <w:rsid w:val="00594046"/>
    <w:rsid w:val="005C2FE2"/>
    <w:rsid w:val="005E2BC9"/>
    <w:rsid w:val="00605102"/>
    <w:rsid w:val="006215AA"/>
    <w:rsid w:val="006767A0"/>
    <w:rsid w:val="006913C9"/>
    <w:rsid w:val="0069470D"/>
    <w:rsid w:val="006B605D"/>
    <w:rsid w:val="006D0A5D"/>
    <w:rsid w:val="006D3FA8"/>
    <w:rsid w:val="00734F00"/>
    <w:rsid w:val="00740C48"/>
    <w:rsid w:val="007A70AE"/>
    <w:rsid w:val="007B6F2B"/>
    <w:rsid w:val="008362E8"/>
    <w:rsid w:val="0084159C"/>
    <w:rsid w:val="008A1768"/>
    <w:rsid w:val="008F4429"/>
    <w:rsid w:val="00934B62"/>
    <w:rsid w:val="0094021A"/>
    <w:rsid w:val="009B234D"/>
    <w:rsid w:val="009C6A0B"/>
    <w:rsid w:val="009F0C77"/>
    <w:rsid w:val="009F4DD1"/>
    <w:rsid w:val="009F581E"/>
    <w:rsid w:val="00A41684"/>
    <w:rsid w:val="00A64E80"/>
    <w:rsid w:val="00A72BCD"/>
    <w:rsid w:val="00A741D9"/>
    <w:rsid w:val="00A833AB"/>
    <w:rsid w:val="00A9741D"/>
    <w:rsid w:val="00AD4B17"/>
    <w:rsid w:val="00AE3D4E"/>
    <w:rsid w:val="00B412D4"/>
    <w:rsid w:val="00BB348F"/>
    <w:rsid w:val="00BE3C22"/>
    <w:rsid w:val="00BE55C2"/>
    <w:rsid w:val="00C0345E"/>
    <w:rsid w:val="00C3483A"/>
    <w:rsid w:val="00C74E9D"/>
    <w:rsid w:val="00C82FD3"/>
    <w:rsid w:val="00C92819"/>
    <w:rsid w:val="00CC6B7B"/>
    <w:rsid w:val="00CD2089"/>
    <w:rsid w:val="00CF60A4"/>
    <w:rsid w:val="00D24EEE"/>
    <w:rsid w:val="00D73A67"/>
    <w:rsid w:val="00D7559C"/>
    <w:rsid w:val="00D970A9"/>
    <w:rsid w:val="00DB68A1"/>
    <w:rsid w:val="00DF3845"/>
    <w:rsid w:val="00E41911"/>
    <w:rsid w:val="00E8397C"/>
    <w:rsid w:val="00E92EEF"/>
    <w:rsid w:val="00EF2AF3"/>
    <w:rsid w:val="00F1440D"/>
    <w:rsid w:val="00F24442"/>
    <w:rsid w:val="00F50AE3"/>
    <w:rsid w:val="00F55552"/>
    <w:rsid w:val="00F67CF1"/>
    <w:rsid w:val="00F840F0"/>
    <w:rsid w:val="00FB0D0D"/>
    <w:rsid w:val="00FB43B4"/>
    <w:rsid w:val="00FD346B"/>
    <w:rsid w:val="00FF38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2EE8939-9445-46B6-95BB-79BFF390D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3FA8"/>
    <w:rPr>
      <w:rFonts w:ascii="Tahoma" w:hAnsi="Tahoma" w:cs="Tahoma"/>
      <w:sz w:val="16"/>
      <w:szCs w:val="16"/>
    </w:rPr>
  </w:style>
  <w:style w:type="character" w:customStyle="1" w:styleId="BalloonTextChar">
    <w:name w:val="Balloon Text Char"/>
    <w:basedOn w:val="DefaultParagraphFont"/>
    <w:link w:val="BalloonText"/>
    <w:uiPriority w:val="99"/>
    <w:semiHidden/>
    <w:rsid w:val="006D3FA8"/>
    <w:rPr>
      <w:rFonts w:ascii="Tahoma" w:eastAsia="Times New Roman" w:hAnsi="Tahoma" w:cs="Tahoma"/>
      <w:sz w:val="16"/>
      <w:szCs w:val="16"/>
    </w:rPr>
  </w:style>
  <w:style w:type="character" w:styleId="Hyperlink">
    <w:name w:val="Hyperlink"/>
    <w:basedOn w:val="DefaultParagraphFont"/>
    <w:uiPriority w:val="99"/>
    <w:unhideWhenUsed/>
    <w:rsid w:val="009B23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35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30357-1A27-4D10-921F-429B6D80D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387</Words>
  <Characters>2043</Characters>
  <Application>Microsoft Office Word</Application>
  <DocSecurity>4</DocSecurity>
  <Lines>80</Lines>
  <Paragraphs>27</Paragraphs>
  <ScaleCrop>false</ScaleCrop>
  <Company> </Company>
  <LinksUpToDate>false</LinksUpToDate>
  <CharactersWithSpaces>2416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3135: Probate judges - South Carolina Legislature Online</dc:title>
  <dc:subject/>
  <dc:creator>MarthaSanders</dc:creator>
  <cp:keywords/>
  <dc:description/>
  <cp:lastModifiedBy>N Cumfer</cp:lastModifiedBy>
  <cp:revision>2</cp:revision>
  <cp:lastPrinted>2010-12-03T15:12:00Z</cp:lastPrinted>
  <dcterms:created xsi:type="dcterms:W3CDTF">2014-11-21T21:29:00Z</dcterms:created>
  <dcterms:modified xsi:type="dcterms:W3CDTF">2014-11-21T21:29:00Z</dcterms:modified>
</cp:coreProperties>
</file>