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2B23" w:rsidRDefault="001E2B23" w:rsidP="001E2B23">
      <w:pPr>
        <w:widowControl w:val="0"/>
        <w:jc w:val="center"/>
      </w:pPr>
      <w:bookmarkStart w:id="0" w:name="_GoBack"/>
      <w:bookmarkEnd w:id="0"/>
      <w:r w:rsidRPr="001E2B23">
        <w:rPr>
          <w:b/>
        </w:rPr>
        <w:t>South Carolina General Assembly</w:t>
      </w:r>
    </w:p>
    <w:p w:rsidR="001E2B23" w:rsidRDefault="001E2B23" w:rsidP="001E2B23">
      <w:pPr>
        <w:widowControl w:val="0"/>
        <w:jc w:val="center"/>
      </w:pPr>
      <w:r>
        <w:t>119th Session, 2011-2012</w:t>
      </w:r>
    </w:p>
    <w:p w:rsidR="001E2B23" w:rsidRDefault="001E2B23" w:rsidP="001E2B23">
      <w:pPr>
        <w:widowControl w:val="0"/>
        <w:jc w:val="left"/>
      </w:pPr>
    </w:p>
    <w:p w:rsidR="001E2B23" w:rsidRDefault="001E2B23" w:rsidP="001E2B23">
      <w:pPr>
        <w:widowControl w:val="0"/>
        <w:jc w:val="left"/>
        <w:rPr>
          <w:b/>
        </w:rPr>
      </w:pPr>
      <w:r w:rsidRPr="001E2B23">
        <w:rPr>
          <w:b/>
        </w:rPr>
        <w:t>H. 3207</w:t>
      </w:r>
    </w:p>
    <w:p w:rsidR="001E2B23" w:rsidRDefault="001E2B23" w:rsidP="001E2B23">
      <w:pPr>
        <w:widowControl w:val="0"/>
        <w:jc w:val="left"/>
        <w:rPr>
          <w:b/>
        </w:rPr>
      </w:pPr>
    </w:p>
    <w:p w:rsidR="001E2B23" w:rsidRDefault="001E2B23" w:rsidP="001E2B23">
      <w:pPr>
        <w:widowControl w:val="0"/>
        <w:jc w:val="left"/>
      </w:pPr>
      <w:r w:rsidRPr="001E2B23">
        <w:rPr>
          <w:b/>
        </w:rPr>
        <w:t>STATUS INFORMATION</w:t>
      </w:r>
    </w:p>
    <w:p w:rsidR="001E2B23" w:rsidRDefault="001E2B23" w:rsidP="001E2B23">
      <w:pPr>
        <w:widowControl w:val="0"/>
        <w:jc w:val="left"/>
      </w:pPr>
    </w:p>
    <w:p w:rsidR="001E2B23" w:rsidRDefault="001E2B23" w:rsidP="001E2B23">
      <w:pPr>
        <w:widowControl w:val="0"/>
        <w:jc w:val="left"/>
      </w:pPr>
      <w:r>
        <w:t>General Bill</w:t>
      </w:r>
    </w:p>
    <w:p w:rsidR="001E2B23" w:rsidRDefault="00F202A9" w:rsidP="001E2B23">
      <w:pPr>
        <w:widowControl w:val="0"/>
        <w:jc w:val="left"/>
      </w:pPr>
      <w:r>
        <w:t>Sponsors: Reps. Cobb</w:t>
      </w:r>
      <w:r>
        <w:noBreakHyphen/>
        <w:t>Hunter and H.B. Brown</w:t>
      </w:r>
    </w:p>
    <w:p w:rsidR="001E2B23" w:rsidRDefault="001E2B23" w:rsidP="001E2B23">
      <w:pPr>
        <w:widowControl w:val="0"/>
        <w:jc w:val="left"/>
      </w:pPr>
      <w:r>
        <w:t>Document Path: l:\council\bills\ms\7077ahb11.docx</w:t>
      </w:r>
    </w:p>
    <w:p w:rsidR="001E2B23" w:rsidRDefault="001E2B23" w:rsidP="001E2B23">
      <w:pPr>
        <w:widowControl w:val="0"/>
        <w:jc w:val="left"/>
      </w:pPr>
    </w:p>
    <w:p w:rsidR="006759F8" w:rsidRDefault="006759F8" w:rsidP="001E2B23">
      <w:pPr>
        <w:widowControl w:val="0"/>
        <w:jc w:val="left"/>
      </w:pPr>
      <w:r>
        <w:t>Introduced in the House on January 11, 2011</w:t>
      </w:r>
    </w:p>
    <w:p w:rsidR="006759F8" w:rsidRPr="006759F8" w:rsidRDefault="006759F8" w:rsidP="001E2B23">
      <w:pPr>
        <w:widowControl w:val="0"/>
        <w:jc w:val="left"/>
      </w:pPr>
      <w:r>
        <w:t xml:space="preserve">Currently residing in the House Committee on </w:t>
      </w:r>
      <w:r w:rsidRPr="006759F8">
        <w:rPr>
          <w:b/>
        </w:rPr>
        <w:t>Judiciary</w:t>
      </w:r>
    </w:p>
    <w:p w:rsidR="006759F8" w:rsidRDefault="006759F8" w:rsidP="001E2B23">
      <w:pPr>
        <w:widowControl w:val="0"/>
        <w:jc w:val="left"/>
      </w:pPr>
    </w:p>
    <w:p w:rsidR="001E2B23" w:rsidRDefault="001E2B23" w:rsidP="001E2B23">
      <w:pPr>
        <w:widowControl w:val="0"/>
        <w:jc w:val="left"/>
      </w:pPr>
      <w:r>
        <w:t xml:space="preserve">Summary: </w:t>
      </w:r>
      <w:r w:rsidR="00164180">
        <w:t>Criminal domestic violence</w:t>
      </w:r>
    </w:p>
    <w:p w:rsidR="001E2B23" w:rsidRDefault="001E2B23" w:rsidP="001E2B23">
      <w:pPr>
        <w:widowControl w:val="0"/>
        <w:jc w:val="left"/>
      </w:pPr>
    </w:p>
    <w:p w:rsidR="001E2B23" w:rsidRDefault="001E2B23" w:rsidP="001E2B23">
      <w:pPr>
        <w:widowControl w:val="0"/>
        <w:jc w:val="left"/>
      </w:pPr>
    </w:p>
    <w:p w:rsidR="001E2B23" w:rsidRDefault="001E2B23" w:rsidP="001E2B23">
      <w:pPr>
        <w:widowControl w:val="0"/>
        <w:tabs>
          <w:tab w:val="center" w:pos="590"/>
          <w:tab w:val="center" w:pos="1440"/>
          <w:tab w:val="left" w:pos="1872"/>
          <w:tab w:val="left" w:pos="9187"/>
        </w:tabs>
        <w:jc w:val="left"/>
      </w:pPr>
      <w:r w:rsidRPr="001E2B23">
        <w:rPr>
          <w:b/>
        </w:rPr>
        <w:t>HISTORY OF LEGISLATIVE ACTIONS</w:t>
      </w:r>
    </w:p>
    <w:p w:rsidR="001E2B23" w:rsidRDefault="001E2B23" w:rsidP="001E2B23">
      <w:pPr>
        <w:widowControl w:val="0"/>
        <w:tabs>
          <w:tab w:val="center" w:pos="590"/>
          <w:tab w:val="center" w:pos="1440"/>
          <w:tab w:val="left" w:pos="1872"/>
          <w:tab w:val="left" w:pos="9187"/>
        </w:tabs>
        <w:jc w:val="left"/>
      </w:pPr>
    </w:p>
    <w:p w:rsidR="001E2B23" w:rsidRPr="001E2B23" w:rsidRDefault="001E2B23" w:rsidP="001E2B23">
      <w:pPr>
        <w:widowControl w:val="0"/>
        <w:tabs>
          <w:tab w:val="center" w:pos="590"/>
          <w:tab w:val="center" w:pos="1440"/>
          <w:tab w:val="left" w:pos="1872"/>
          <w:tab w:val="left" w:pos="9187"/>
        </w:tabs>
        <w:jc w:val="left"/>
      </w:pPr>
      <w:r w:rsidRPr="001E2B23">
        <w:rPr>
          <w:u w:val="single"/>
        </w:rPr>
        <w:tab/>
        <w:t>Date</w:t>
      </w:r>
      <w:r w:rsidRPr="001E2B23">
        <w:rPr>
          <w:u w:val="single"/>
        </w:rPr>
        <w:tab/>
        <w:t>Body</w:t>
      </w:r>
      <w:r w:rsidRPr="001E2B23">
        <w:rPr>
          <w:u w:val="single"/>
        </w:rPr>
        <w:tab/>
        <w:t>Action Description with journal page number</w:t>
      </w:r>
      <w:r w:rsidRPr="001E2B23">
        <w:rPr>
          <w:u w:val="single"/>
        </w:rPr>
        <w:tab/>
      </w:r>
    </w:p>
    <w:p w:rsidR="00EA7309" w:rsidRDefault="00EA7309" w:rsidP="00EA7309">
      <w:pPr>
        <w:widowControl w:val="0"/>
        <w:tabs>
          <w:tab w:val="right" w:pos="1008"/>
          <w:tab w:val="left" w:pos="1152"/>
          <w:tab w:val="left" w:pos="1872"/>
          <w:tab w:val="left" w:pos="9187"/>
        </w:tabs>
        <w:ind w:left="2088" w:hanging="2088"/>
        <w:jc w:val="left"/>
      </w:pPr>
      <w:r>
        <w:tab/>
        <w:t>12/14/2010</w:t>
      </w:r>
      <w:r>
        <w:tab/>
        <w:t>House</w:t>
      </w:r>
      <w:r>
        <w:tab/>
      </w:r>
      <w:r w:rsidRPr="005C0B8A">
        <w:t>Prefiled</w:t>
      </w:r>
    </w:p>
    <w:p w:rsidR="00EA7309" w:rsidRDefault="00EA7309" w:rsidP="00EA7309">
      <w:pPr>
        <w:widowControl w:val="0"/>
        <w:tabs>
          <w:tab w:val="right" w:pos="1008"/>
          <w:tab w:val="left" w:pos="1152"/>
          <w:tab w:val="left" w:pos="1872"/>
          <w:tab w:val="left" w:pos="9187"/>
        </w:tabs>
        <w:ind w:left="2088" w:hanging="2088"/>
        <w:jc w:val="left"/>
      </w:pPr>
      <w:r>
        <w:tab/>
        <w:t>12/14/2010</w:t>
      </w:r>
      <w:r>
        <w:tab/>
        <w:t>House</w:t>
      </w:r>
      <w:r>
        <w:tab/>
      </w:r>
      <w:r w:rsidRPr="005C0B8A">
        <w:t xml:space="preserve">Referred to Committee on </w:t>
      </w:r>
      <w:r w:rsidRPr="005C0B8A">
        <w:rPr>
          <w:b/>
        </w:rPr>
        <w:t>Judiciary</w:t>
      </w:r>
    </w:p>
    <w:p w:rsidR="00EA7309" w:rsidRDefault="00EA7309" w:rsidP="00EA7309">
      <w:pPr>
        <w:widowControl w:val="0"/>
        <w:tabs>
          <w:tab w:val="right" w:pos="1008"/>
          <w:tab w:val="left" w:pos="1152"/>
          <w:tab w:val="left" w:pos="1872"/>
          <w:tab w:val="left" w:pos="9187"/>
        </w:tabs>
        <w:ind w:left="2088" w:hanging="2088"/>
        <w:jc w:val="left"/>
      </w:pPr>
      <w:r>
        <w:tab/>
        <w:t>1/11/2011</w:t>
      </w:r>
      <w:r>
        <w:tab/>
        <w:t>House</w:t>
      </w:r>
      <w:r>
        <w:tab/>
      </w:r>
      <w:r w:rsidRPr="005C0B8A">
        <w:t>Introduced and read first time (</w:t>
      </w:r>
      <w:hyperlink r:id="rId7" w:history="1">
        <w:r w:rsidRPr="005C0B8A">
          <w:rPr>
            <w:rStyle w:val="Hyperlink"/>
          </w:rPr>
          <w:t>House Journal</w:t>
        </w:r>
        <w:r w:rsidRPr="005C0B8A">
          <w:rPr>
            <w:rStyle w:val="Hyperlink"/>
          </w:rPr>
          <w:noBreakHyphen/>
          <w:t>page 83</w:t>
        </w:r>
      </w:hyperlink>
      <w:r w:rsidRPr="005C0B8A">
        <w:t>)</w:t>
      </w:r>
    </w:p>
    <w:p w:rsidR="00EA7309" w:rsidRDefault="00EA7309" w:rsidP="00EA7309">
      <w:pPr>
        <w:widowControl w:val="0"/>
        <w:tabs>
          <w:tab w:val="right" w:pos="1008"/>
          <w:tab w:val="left" w:pos="1152"/>
          <w:tab w:val="left" w:pos="1872"/>
          <w:tab w:val="left" w:pos="9187"/>
        </w:tabs>
        <w:ind w:left="2088" w:hanging="2088"/>
        <w:jc w:val="left"/>
      </w:pPr>
      <w:r>
        <w:tab/>
        <w:t>1/11/2011</w:t>
      </w:r>
      <w:r>
        <w:tab/>
        <w:t>House</w:t>
      </w:r>
      <w:r>
        <w:tab/>
      </w:r>
      <w:r w:rsidRPr="005C0B8A">
        <w:t>Referred t</w:t>
      </w:r>
      <w:r>
        <w:t xml:space="preserve">o Committee on </w:t>
      </w:r>
      <w:r w:rsidRPr="005C0B8A">
        <w:rPr>
          <w:b/>
        </w:rPr>
        <w:t>Judiciary</w:t>
      </w:r>
      <w:r>
        <w:t xml:space="preserve"> (</w:t>
      </w:r>
      <w:hyperlink r:id="rId8" w:history="1">
        <w:r w:rsidRPr="005C0B8A">
          <w:rPr>
            <w:rStyle w:val="Hyperlink"/>
          </w:rPr>
          <w:t>House Journal</w:t>
        </w:r>
        <w:r w:rsidRPr="005C0B8A">
          <w:rPr>
            <w:rStyle w:val="Hyperlink"/>
          </w:rPr>
          <w:noBreakHyphen/>
          <w:t>page 83</w:t>
        </w:r>
      </w:hyperlink>
      <w:r w:rsidRPr="005C0B8A">
        <w:t>)</w:t>
      </w:r>
    </w:p>
    <w:p w:rsidR="00EA7309" w:rsidRDefault="00EA7309" w:rsidP="00EA7309">
      <w:pPr>
        <w:widowControl w:val="0"/>
        <w:tabs>
          <w:tab w:val="right" w:pos="1008"/>
          <w:tab w:val="left" w:pos="1152"/>
          <w:tab w:val="left" w:pos="1872"/>
          <w:tab w:val="left" w:pos="9187"/>
        </w:tabs>
        <w:ind w:left="2088" w:hanging="2088"/>
        <w:jc w:val="left"/>
      </w:pPr>
    </w:p>
    <w:p w:rsidR="001E2B23" w:rsidRPr="001E2B23" w:rsidRDefault="001E2B23" w:rsidP="001E2B23">
      <w:pPr>
        <w:widowControl w:val="0"/>
        <w:tabs>
          <w:tab w:val="right" w:pos="1008"/>
          <w:tab w:val="left" w:pos="1152"/>
          <w:tab w:val="left" w:pos="1872"/>
          <w:tab w:val="left" w:pos="9187"/>
        </w:tabs>
        <w:ind w:left="2088" w:hanging="2088"/>
        <w:jc w:val="left"/>
      </w:pPr>
    </w:p>
    <w:p w:rsidR="001E2B23" w:rsidRDefault="001E2B23" w:rsidP="001E2B23">
      <w:pPr>
        <w:widowControl w:val="0"/>
        <w:jc w:val="left"/>
      </w:pPr>
      <w:r w:rsidRPr="001E2B23">
        <w:rPr>
          <w:b/>
        </w:rPr>
        <w:t>VERSIONS OF THIS BILL</w:t>
      </w:r>
    </w:p>
    <w:p w:rsidR="001E2B23" w:rsidRDefault="001E2B23" w:rsidP="001E2B23">
      <w:pPr>
        <w:widowControl w:val="0"/>
        <w:jc w:val="left"/>
      </w:pPr>
    </w:p>
    <w:p w:rsidR="001E2B23" w:rsidRDefault="00595D19" w:rsidP="001E2B23">
      <w:pPr>
        <w:widowControl w:val="0"/>
        <w:jc w:val="left"/>
      </w:pPr>
      <w:hyperlink r:id="rId9" w:history="1">
        <w:r w:rsidR="001E2B23">
          <w:rPr>
            <w:rStyle w:val="Hyperlink"/>
          </w:rPr>
          <w:t>12/14/2010</w:t>
        </w:r>
      </w:hyperlink>
    </w:p>
    <w:p w:rsidR="001E2B23" w:rsidRDefault="001E2B23" w:rsidP="001E2B23"/>
    <w:p w:rsidR="001E2B23" w:rsidRDefault="001E2B23" w:rsidP="001E2B23">
      <w:pPr>
        <w:sectPr w:rsidR="001E2B23" w:rsidSect="001E2B2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D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2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20, AS AMENDED, CODE OF LAWS OF SOUTH CAROLINA, 1976, RELATING TO CRIMINAL DOMESTIC VIOLENCE OFFENSES, PENALTIES, AND PROSECUTION, SO AS TO PROVIDE THAT A JUDGE MAY PROCEED WITH THE PROSECUTION OF A CASE IF THE VICTIM IS NOT PRESENT AND TO PROVIDE THAT BEFORE DISMISSING A CASE, THE JUDGE SHALL MAKE WRITTEN FINDINGS AS TO WHETHER THE PROSECUTING OFFICIAL IS PREPARED TO PROSECUTE THE CASE AND THE TYPE OF EVIDENCE THAT WILL BE PRESENTED; AND TO AMEND SECTION 16</w:t>
      </w:r>
      <w:r>
        <w:noBreakHyphen/>
        <w:t>25</w:t>
      </w:r>
      <w:r>
        <w:noBreakHyphen/>
        <w:t>70, AS AMENDED, RELATING TO LAW ENFORCEMENT’S AUTHORITY AND RESPONSIBILITIES WITH REGARD TO ARRESTS IN AND INVESTIGATIONS OF CRIMINAL DOMESTIC VIOLENCE, SO AS TO REQUIRE THE INVESTIGATING AGENCY TO DOCUMENT THE INVESTIGATION AND TO MAINTAIN THE INVESTIGATION REPORT.</w:t>
      </w:r>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2124" w:rsidRDefault="00212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212124"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345B">
        <w:t xml:space="preserve">Section </w:t>
      </w:r>
      <w:r w:rsidR="006D17FF">
        <w:t>16</w:t>
      </w:r>
      <w:r w:rsidR="006D17FF">
        <w:noBreakHyphen/>
        <w:t>25</w:t>
      </w:r>
      <w:r w:rsidR="006D17FF">
        <w:noBreakHyphen/>
        <w:t>20(E) of the 1976 Code, as last amended by Act 255 of 2008, is further amended to read: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r>
      <w:r>
        <w:tab/>
        <w:t xml:space="preserve">Unless the complaint is voluntarily dismissed or the charge is dropped prior to the scheduled trial date, a person charged with a violation provided in this chapter must appear before a judge for disposition of the case.  </w:t>
      </w:r>
      <w:r>
        <w:rPr>
          <w:u w:val="single"/>
        </w:rPr>
        <w:t>However, a judge may proceed with the prosecution of a case without the victim present.</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Prior to dismissing a case brought for a violation provided for in this chapter, the judge shall inquire and make written findings as to whether the prosecuting official is ready to proceed with the trial of the case and what type of evidence, including, but not limited to, physical, testi</w:t>
      </w:r>
      <w:r w:rsidR="00D0345B">
        <w:rPr>
          <w:u w:val="single"/>
        </w:rPr>
        <w:t>monial, or documentary evidence</w:t>
      </w:r>
      <w:r>
        <w:rPr>
          <w:u w:val="single"/>
        </w:rPr>
        <w:t xml:space="preserve"> the prosecution is prepared to present.</w:t>
      </w:r>
      <w:r>
        <w:rPr>
          <w:szCs w:val="24"/>
        </w:rPr>
        <w:t>”</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2.</w:t>
      </w:r>
      <w:r>
        <w:tab/>
      </w:r>
      <w:r>
        <w:rPr>
          <w:szCs w:val="24"/>
        </w:rPr>
        <w:t>Section 16</w:t>
      </w:r>
      <w:r>
        <w:rPr>
          <w:szCs w:val="24"/>
        </w:rPr>
        <w:noBreakHyphen/>
        <w:t>25</w:t>
      </w:r>
      <w:r>
        <w:rPr>
          <w:szCs w:val="24"/>
        </w:rPr>
        <w:noBreakHyphen/>
        <w:t>70(A) of the 1976 Code, as last amended by Act 319 of 2008, is further amended to read: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“(A)</w:t>
      </w:r>
      <w:r>
        <w:rPr>
          <w:szCs w:val="24"/>
        </w:rPr>
        <w:tab/>
      </w:r>
      <w:r>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noBreakHyphen/>
        <w:t>25</w:t>
      </w:r>
      <w:r>
        <w:noBreakHyphen/>
        <w:t>20(A) or (E), 16</w:t>
      </w:r>
      <w:r>
        <w:noBreakHyphen/>
        <w:t>25</w:t>
      </w:r>
      <w:r>
        <w:noBreakHyphen/>
        <w:t>65, or 16</w:t>
      </w:r>
      <w:r>
        <w:noBreakHyphen/>
        <w:t>25</w:t>
      </w:r>
      <w:r>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Pr>
          <w:u w:val="single"/>
        </w:rPr>
        <w:t>The investigation must be documented on an incident report form which must be maintained by the investigating agency.</w:t>
      </w:r>
      <w:r>
        <w:t xml:space="preserve">  If an arrest warrant is sought, the law enforcement agency must present the results of the investigation and any other relevant evidence to a magistrate who may issue an arrest warrant if probable cause is established.”</w:t>
      </w:r>
    </w:p>
    <w:p w:rsidR="006D17FF"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CA6" w:rsidRDefault="006D17FF"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15CA6">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15CA6" w:rsidRDefault="00915CA6"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FF" w:rsidRDefault="00915CA6" w:rsidP="006D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tab/>
        <w:t>4.</w:t>
      </w:r>
      <w:r>
        <w:tab/>
      </w:r>
      <w:r w:rsidR="006D17FF">
        <w:t>This act takes effect upon approval by the Governor.</w:t>
      </w:r>
    </w:p>
    <w:p w:rsidR="00251D28" w:rsidRDefault="0010776B" w:rsidP="00D2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D28" w:rsidRDefault="00251D28" w:rsidP="001E2B23">
      <w:pPr>
        <w:suppressAutoHyphens/>
      </w:pPr>
    </w:p>
    <w:sectPr w:rsidR="00251D28" w:rsidSect="001E2B2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2124" w:rsidRDefault="00212124" w:rsidP="009F0C77">
      <w:r>
        <w:separator/>
      </w:r>
    </w:p>
  </w:endnote>
  <w:endnote w:type="continuationSeparator" w:id="0">
    <w:p w:rsidR="00212124" w:rsidRDefault="00212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DA88E6-3479-41B9-AEB9-99884CD0E18C}"/>
    <w:embedBold r:id="rId2" w:fontKey="{AB10D6A1-15EF-4C05-90B6-2E0FBDF8FF06}"/>
  </w:font>
  <w:font w:name="Calibri">
    <w:panose1 w:val="020F0502020204030204"/>
    <w:charset w:val="00"/>
    <w:family w:val="swiss"/>
    <w:pitch w:val="variable"/>
    <w:sig w:usb0="E10002FF" w:usb1="4000ACFF" w:usb2="00000009" w:usb3="00000000" w:csb0="0000019F" w:csb1="00000000"/>
    <w:embedRegular r:id="rId3" w:fontKey="{96674102-7FC4-4783-9BF0-0FFD8C718185}"/>
  </w:font>
  <w:font w:name="Tahoma">
    <w:panose1 w:val="020B0604030504040204"/>
    <w:charset w:val="00"/>
    <w:family w:val="swiss"/>
    <w:pitch w:val="variable"/>
    <w:sig w:usb0="21002A87" w:usb1="80000000" w:usb2="00000008" w:usb3="00000000" w:csb0="000101FF" w:csb1="00000000"/>
    <w:embedRegular r:id="rId4" w:fontKey="{51869248-83C4-4611-A698-39313857046A}"/>
  </w:font>
  <w:font w:name="Cambria">
    <w:panose1 w:val="02040503050406030204"/>
    <w:charset w:val="00"/>
    <w:family w:val="roman"/>
    <w:pitch w:val="variable"/>
    <w:sig w:usb0="E00002FF" w:usb1="400004FF" w:usb2="00000000" w:usb3="00000000" w:csb0="0000019F" w:csb1="00000000"/>
    <w:embedRegular r:id="rId5" w:fontKey="{144DFB09-0A1C-48B1-B7C9-C311B7A72D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B23" w:rsidRPr="00251D28" w:rsidRDefault="001E2B23" w:rsidP="00251D28">
    <w:pPr>
      <w:pStyle w:val="Footer"/>
      <w:tabs>
        <w:tab w:val="clear" w:pos="4680"/>
        <w:tab w:val="clear" w:pos="9360"/>
        <w:tab w:val="center" w:pos="2995"/>
      </w:tabs>
      <w:spacing w:before="120"/>
    </w:pPr>
    <w:r>
      <w:t>[3207]</w:t>
    </w:r>
    <w:r>
      <w:tab/>
    </w:r>
    <w:r w:rsidR="00595D19">
      <w:fldChar w:fldCharType="begin"/>
    </w:r>
    <w:r w:rsidR="00595D19">
      <w:instrText xml:space="preserve"> PAGE  \* MERGEFORMAT </w:instrText>
    </w:r>
    <w:r w:rsidR="00595D19">
      <w:fldChar w:fldCharType="separate"/>
    </w:r>
    <w:r w:rsidR="00595D19">
      <w:rPr>
        <w:noProof/>
      </w:rPr>
      <w:t>1</w:t>
    </w:r>
    <w:r w:rsidR="00595D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2124" w:rsidRDefault="00212124" w:rsidP="009F0C77">
      <w:r>
        <w:separator/>
      </w:r>
    </w:p>
  </w:footnote>
  <w:footnote w:type="continuationSeparator" w:id="0">
    <w:p w:rsidR="00212124" w:rsidRDefault="00212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77AHB11"/>
    <w:docVar w:name="CoverBillType" w:val="b"/>
    <w:docVar w:name="docpath" w:val="L:\Council\bills\MS\7077AHB11.DOCX"/>
    <w:docVar w:name="dvBillNumber" w:val="3207"/>
    <w:docVar w:name="dvBillNumberPrefix" w:val="H. "/>
    <w:docVar w:name="dvOriginalBody" w:val="House"/>
    <w:docVar w:name="dvSteno" w:val="MS"/>
    <w:docVar w:name="NameofBody" w:val="h"/>
    <w:docVar w:name="vgroup2" w:val="Council"/>
  </w:docVars>
  <w:rsids>
    <w:rsidRoot w:val="003C6D1A"/>
    <w:rsid w:val="00011869"/>
    <w:rsid w:val="00050EFD"/>
    <w:rsid w:val="000E1785"/>
    <w:rsid w:val="000F40FA"/>
    <w:rsid w:val="0010776B"/>
    <w:rsid w:val="00133E66"/>
    <w:rsid w:val="001435A3"/>
    <w:rsid w:val="001506B8"/>
    <w:rsid w:val="00164180"/>
    <w:rsid w:val="001644FC"/>
    <w:rsid w:val="001D08F2"/>
    <w:rsid w:val="001D525B"/>
    <w:rsid w:val="001D7F4F"/>
    <w:rsid w:val="001E2B23"/>
    <w:rsid w:val="00212124"/>
    <w:rsid w:val="00222726"/>
    <w:rsid w:val="002321B6"/>
    <w:rsid w:val="00250967"/>
    <w:rsid w:val="00251D28"/>
    <w:rsid w:val="002543C8"/>
    <w:rsid w:val="00284313"/>
    <w:rsid w:val="00284AAE"/>
    <w:rsid w:val="002E5912"/>
    <w:rsid w:val="00325348"/>
    <w:rsid w:val="0032732C"/>
    <w:rsid w:val="00336AD0"/>
    <w:rsid w:val="0037079A"/>
    <w:rsid w:val="003C6D1A"/>
    <w:rsid w:val="003D01E8"/>
    <w:rsid w:val="003E5288"/>
    <w:rsid w:val="003F6D79"/>
    <w:rsid w:val="0041760A"/>
    <w:rsid w:val="00417C01"/>
    <w:rsid w:val="00443E2F"/>
    <w:rsid w:val="004809EE"/>
    <w:rsid w:val="004E7D54"/>
    <w:rsid w:val="005273C6"/>
    <w:rsid w:val="00530A69"/>
    <w:rsid w:val="00545593"/>
    <w:rsid w:val="00577C6C"/>
    <w:rsid w:val="00581F91"/>
    <w:rsid w:val="00595D19"/>
    <w:rsid w:val="005C2FE2"/>
    <w:rsid w:val="005E2BC9"/>
    <w:rsid w:val="00605102"/>
    <w:rsid w:val="006215AA"/>
    <w:rsid w:val="006376BF"/>
    <w:rsid w:val="00637C7C"/>
    <w:rsid w:val="006759F8"/>
    <w:rsid w:val="006913C9"/>
    <w:rsid w:val="00691CC0"/>
    <w:rsid w:val="0069470D"/>
    <w:rsid w:val="006B32A2"/>
    <w:rsid w:val="006D17FF"/>
    <w:rsid w:val="006E7845"/>
    <w:rsid w:val="00734F00"/>
    <w:rsid w:val="007A70AE"/>
    <w:rsid w:val="007D42AE"/>
    <w:rsid w:val="008362E8"/>
    <w:rsid w:val="00846877"/>
    <w:rsid w:val="008A1768"/>
    <w:rsid w:val="008B187B"/>
    <w:rsid w:val="008D75DA"/>
    <w:rsid w:val="008F4429"/>
    <w:rsid w:val="00915CA6"/>
    <w:rsid w:val="0094021A"/>
    <w:rsid w:val="00943E69"/>
    <w:rsid w:val="00991BCB"/>
    <w:rsid w:val="009C6056"/>
    <w:rsid w:val="009C6A0B"/>
    <w:rsid w:val="009F0C77"/>
    <w:rsid w:val="009F4DD1"/>
    <w:rsid w:val="00A25BF9"/>
    <w:rsid w:val="00A32F72"/>
    <w:rsid w:val="00A332EF"/>
    <w:rsid w:val="00A41684"/>
    <w:rsid w:val="00A64E80"/>
    <w:rsid w:val="00A72BCD"/>
    <w:rsid w:val="00A741D9"/>
    <w:rsid w:val="00A833AB"/>
    <w:rsid w:val="00A9741D"/>
    <w:rsid w:val="00AD4B17"/>
    <w:rsid w:val="00B1294B"/>
    <w:rsid w:val="00B27F86"/>
    <w:rsid w:val="00B412D4"/>
    <w:rsid w:val="00B66353"/>
    <w:rsid w:val="00BE3C22"/>
    <w:rsid w:val="00BF6E89"/>
    <w:rsid w:val="00C0345E"/>
    <w:rsid w:val="00C3483A"/>
    <w:rsid w:val="00C354C8"/>
    <w:rsid w:val="00C74E9D"/>
    <w:rsid w:val="00C82FD3"/>
    <w:rsid w:val="00C92819"/>
    <w:rsid w:val="00CC6B7B"/>
    <w:rsid w:val="00CD2089"/>
    <w:rsid w:val="00CD4226"/>
    <w:rsid w:val="00D0345B"/>
    <w:rsid w:val="00D25421"/>
    <w:rsid w:val="00D515C9"/>
    <w:rsid w:val="00D73A67"/>
    <w:rsid w:val="00D970A9"/>
    <w:rsid w:val="00DF3845"/>
    <w:rsid w:val="00E41911"/>
    <w:rsid w:val="00E80F9B"/>
    <w:rsid w:val="00E92EEF"/>
    <w:rsid w:val="00EA7309"/>
    <w:rsid w:val="00F202A9"/>
    <w:rsid w:val="00F24442"/>
    <w:rsid w:val="00F31E8D"/>
    <w:rsid w:val="00F50AE3"/>
    <w:rsid w:val="00F6408A"/>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B1EC8F-4CFC-43DD-A2DB-5A6508BE3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7FF"/>
    <w:rPr>
      <w:rFonts w:ascii="Tahoma" w:hAnsi="Tahoma" w:cs="Tahoma"/>
      <w:sz w:val="16"/>
      <w:szCs w:val="16"/>
    </w:rPr>
  </w:style>
  <w:style w:type="character" w:customStyle="1" w:styleId="BalloonTextChar">
    <w:name w:val="Balloon Text Char"/>
    <w:basedOn w:val="DefaultParagraphFont"/>
    <w:link w:val="BalloonText"/>
    <w:uiPriority w:val="99"/>
    <w:semiHidden/>
    <w:rsid w:val="006D17FF"/>
    <w:rPr>
      <w:rFonts w:ascii="Tahoma" w:eastAsia="Times New Roman" w:hAnsi="Tahoma" w:cs="Tahoma"/>
      <w:sz w:val="16"/>
      <w:szCs w:val="16"/>
    </w:rPr>
  </w:style>
  <w:style w:type="character" w:styleId="Hyperlink">
    <w:name w:val="Hyperlink"/>
    <w:basedOn w:val="DefaultParagraphFont"/>
    <w:uiPriority w:val="99"/>
    <w:unhideWhenUsed/>
    <w:rsid w:val="001E2B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7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AE437-D7ED-4FE3-8513-BE8271AA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712</Words>
  <Characters>3755</Characters>
  <Application>Microsoft Office Word</Application>
  <DocSecurity>4</DocSecurity>
  <Lines>116</Lines>
  <Paragraphs>29</Paragraphs>
  <ScaleCrop>false</ScaleCrop>
  <Company>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3207: Criminal domestic violence - South Carolina Legislature Online</dc:title>
  <dc:subject/>
  <dc:creator>MarthaSanders</dc:creator>
  <cp:keywords/>
  <dc:description/>
  <cp:lastModifiedBy>N Cumfer</cp:lastModifiedBy>
  <cp:revision>2</cp:revision>
  <cp:lastPrinted>2010-12-14T14:02:00Z</cp:lastPrinted>
  <dcterms:created xsi:type="dcterms:W3CDTF">2014-11-21T21:31:00Z</dcterms:created>
  <dcterms:modified xsi:type="dcterms:W3CDTF">2014-11-21T21:31:00Z</dcterms:modified>
</cp:coreProperties>
</file>