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F06" w:rsidRDefault="00670F06" w:rsidP="00670F06">
      <w:pPr>
        <w:widowControl w:val="0"/>
        <w:jc w:val="center"/>
      </w:pPr>
      <w:bookmarkStart w:id="0" w:name="_GoBack"/>
      <w:bookmarkEnd w:id="0"/>
      <w:r w:rsidRPr="00670F06">
        <w:rPr>
          <w:b/>
        </w:rPr>
        <w:t>South Carolina General Assembly</w:t>
      </w:r>
    </w:p>
    <w:p w:rsidR="00670F06" w:rsidRDefault="00670F06" w:rsidP="00670F06">
      <w:pPr>
        <w:widowControl w:val="0"/>
        <w:jc w:val="center"/>
      </w:pPr>
      <w:r>
        <w:t>119th Session, 2011-2012</w:t>
      </w:r>
    </w:p>
    <w:p w:rsidR="00670F06" w:rsidRDefault="00670F06" w:rsidP="00670F06">
      <w:pPr>
        <w:widowControl w:val="0"/>
        <w:jc w:val="left"/>
      </w:pPr>
    </w:p>
    <w:p w:rsidR="00670F06" w:rsidRDefault="00670F06" w:rsidP="00670F06">
      <w:pPr>
        <w:widowControl w:val="0"/>
        <w:jc w:val="left"/>
        <w:rPr>
          <w:b/>
        </w:rPr>
      </w:pPr>
      <w:r w:rsidRPr="00670F06">
        <w:rPr>
          <w:b/>
        </w:rPr>
        <w:t>H. 3695</w:t>
      </w:r>
    </w:p>
    <w:p w:rsidR="00670F06" w:rsidRDefault="00670F06" w:rsidP="00670F06">
      <w:pPr>
        <w:widowControl w:val="0"/>
        <w:jc w:val="left"/>
        <w:rPr>
          <w:b/>
        </w:rPr>
      </w:pPr>
    </w:p>
    <w:p w:rsidR="00670F06" w:rsidRDefault="00670F06" w:rsidP="00670F06">
      <w:pPr>
        <w:widowControl w:val="0"/>
        <w:jc w:val="left"/>
      </w:pPr>
      <w:r w:rsidRPr="00670F06">
        <w:rPr>
          <w:b/>
        </w:rPr>
        <w:t>STATUS INFORMATION</w:t>
      </w:r>
    </w:p>
    <w:p w:rsidR="00670F06" w:rsidRDefault="00670F06" w:rsidP="00670F06">
      <w:pPr>
        <w:widowControl w:val="0"/>
        <w:jc w:val="left"/>
      </w:pPr>
    </w:p>
    <w:p w:rsidR="00670F06" w:rsidRDefault="00670F06" w:rsidP="00670F06">
      <w:pPr>
        <w:widowControl w:val="0"/>
        <w:jc w:val="left"/>
      </w:pPr>
      <w:r>
        <w:t>General Bill</w:t>
      </w:r>
    </w:p>
    <w:p w:rsidR="00670F06" w:rsidRDefault="00670F06" w:rsidP="00670F06">
      <w:pPr>
        <w:widowControl w:val="0"/>
        <w:jc w:val="left"/>
      </w:pPr>
      <w:r>
        <w:t>Sponsors: Rep. Delleney</w:t>
      </w:r>
    </w:p>
    <w:p w:rsidR="00670F06" w:rsidRDefault="00670F06" w:rsidP="00670F06">
      <w:pPr>
        <w:widowControl w:val="0"/>
        <w:jc w:val="left"/>
      </w:pPr>
      <w:r>
        <w:t>Document Path: l:\council\bills\nbd\11279dg11.docx</w:t>
      </w:r>
    </w:p>
    <w:p w:rsidR="002D73FB" w:rsidRDefault="002D73FB" w:rsidP="00670F06">
      <w:pPr>
        <w:widowControl w:val="0"/>
        <w:jc w:val="left"/>
      </w:pPr>
      <w:r>
        <w:t>Companion/Similar bill(s): 533</w:t>
      </w:r>
    </w:p>
    <w:p w:rsidR="00670F06" w:rsidRDefault="00670F06" w:rsidP="00670F06">
      <w:pPr>
        <w:widowControl w:val="0"/>
        <w:jc w:val="left"/>
      </w:pPr>
    </w:p>
    <w:p w:rsidR="00670F06" w:rsidRDefault="00670F06" w:rsidP="00670F06">
      <w:pPr>
        <w:widowControl w:val="0"/>
        <w:jc w:val="left"/>
      </w:pPr>
      <w:r>
        <w:t>Introduced in the House on February 16, 2011</w:t>
      </w:r>
    </w:p>
    <w:p w:rsidR="00670F06" w:rsidRDefault="00670F06" w:rsidP="00670F06">
      <w:pPr>
        <w:widowControl w:val="0"/>
        <w:jc w:val="left"/>
      </w:pPr>
      <w:r>
        <w:t xml:space="preserve">Currently residing in the House Committee on </w:t>
      </w:r>
      <w:r w:rsidRPr="00670F06">
        <w:rPr>
          <w:b/>
        </w:rPr>
        <w:t>Ways and Means</w:t>
      </w:r>
    </w:p>
    <w:p w:rsidR="00670F06" w:rsidRDefault="00670F06" w:rsidP="00670F06">
      <w:pPr>
        <w:widowControl w:val="0"/>
        <w:jc w:val="left"/>
      </w:pPr>
    </w:p>
    <w:p w:rsidR="00670F06" w:rsidRDefault="00670F06" w:rsidP="00670F06">
      <w:pPr>
        <w:widowControl w:val="0"/>
        <w:jc w:val="left"/>
      </w:pPr>
      <w:r>
        <w:t xml:space="preserve">Summary: </w:t>
      </w:r>
      <w:r w:rsidR="005452C6">
        <w:t>Sales and use tax exemptions</w:t>
      </w:r>
    </w:p>
    <w:p w:rsidR="00670F06" w:rsidRDefault="00670F06" w:rsidP="00670F06">
      <w:pPr>
        <w:widowControl w:val="0"/>
        <w:jc w:val="left"/>
      </w:pPr>
    </w:p>
    <w:p w:rsidR="00670F06" w:rsidRDefault="00670F06" w:rsidP="00670F06">
      <w:pPr>
        <w:widowControl w:val="0"/>
        <w:jc w:val="left"/>
      </w:pPr>
    </w:p>
    <w:p w:rsidR="00670F06" w:rsidRDefault="00670F06" w:rsidP="00670F06">
      <w:pPr>
        <w:widowControl w:val="0"/>
        <w:tabs>
          <w:tab w:val="center" w:pos="590"/>
          <w:tab w:val="center" w:pos="1440"/>
          <w:tab w:val="left" w:pos="1872"/>
          <w:tab w:val="left" w:pos="9187"/>
        </w:tabs>
        <w:jc w:val="left"/>
      </w:pPr>
      <w:r w:rsidRPr="00670F06">
        <w:rPr>
          <w:b/>
        </w:rPr>
        <w:t>HISTORY OF LEGISLATIVE ACTIONS</w:t>
      </w:r>
    </w:p>
    <w:p w:rsidR="00670F06" w:rsidRDefault="00670F06" w:rsidP="00670F06">
      <w:pPr>
        <w:widowControl w:val="0"/>
        <w:tabs>
          <w:tab w:val="center" w:pos="590"/>
          <w:tab w:val="center" w:pos="1440"/>
          <w:tab w:val="left" w:pos="1872"/>
          <w:tab w:val="left" w:pos="9187"/>
        </w:tabs>
        <w:jc w:val="left"/>
      </w:pPr>
    </w:p>
    <w:p w:rsidR="00670F06" w:rsidRPr="00670F06" w:rsidRDefault="00670F06" w:rsidP="00670F06">
      <w:pPr>
        <w:widowControl w:val="0"/>
        <w:tabs>
          <w:tab w:val="center" w:pos="590"/>
          <w:tab w:val="center" w:pos="1440"/>
          <w:tab w:val="left" w:pos="1872"/>
          <w:tab w:val="left" w:pos="9187"/>
        </w:tabs>
        <w:jc w:val="left"/>
      </w:pPr>
      <w:r w:rsidRPr="00670F06">
        <w:rPr>
          <w:u w:val="single"/>
        </w:rPr>
        <w:tab/>
        <w:t>Date</w:t>
      </w:r>
      <w:r w:rsidRPr="00670F06">
        <w:rPr>
          <w:u w:val="single"/>
        </w:rPr>
        <w:tab/>
        <w:t>Body</w:t>
      </w:r>
      <w:r w:rsidRPr="00670F06">
        <w:rPr>
          <w:u w:val="single"/>
        </w:rPr>
        <w:tab/>
        <w:t>Action Description with journal page number</w:t>
      </w:r>
      <w:r w:rsidRPr="00670F06">
        <w:rPr>
          <w:u w:val="single"/>
        </w:rPr>
        <w:tab/>
      </w:r>
    </w:p>
    <w:p w:rsidR="00BD6826" w:rsidRDefault="00BD6826" w:rsidP="00BD6826">
      <w:pPr>
        <w:widowControl w:val="0"/>
        <w:tabs>
          <w:tab w:val="right" w:pos="1008"/>
          <w:tab w:val="left" w:pos="1152"/>
          <w:tab w:val="left" w:pos="1872"/>
          <w:tab w:val="left" w:pos="9187"/>
        </w:tabs>
        <w:ind w:left="2088" w:hanging="2088"/>
        <w:jc w:val="left"/>
      </w:pPr>
      <w:r>
        <w:tab/>
        <w:t>2/16/2011</w:t>
      </w:r>
      <w:r>
        <w:tab/>
        <w:t>House</w:t>
      </w:r>
      <w:r>
        <w:tab/>
      </w:r>
      <w:r w:rsidRPr="00D93314">
        <w:t>Introduced and read first time (</w:t>
      </w:r>
      <w:hyperlink r:id="rId7" w:history="1">
        <w:r w:rsidRPr="00D93314">
          <w:rPr>
            <w:rStyle w:val="Hyperlink"/>
          </w:rPr>
          <w:t>House Journal</w:t>
        </w:r>
        <w:r w:rsidRPr="00D93314">
          <w:rPr>
            <w:rStyle w:val="Hyperlink"/>
          </w:rPr>
          <w:noBreakHyphen/>
          <w:t>page 13</w:t>
        </w:r>
      </w:hyperlink>
      <w:r w:rsidRPr="00D93314">
        <w:t>)</w:t>
      </w:r>
    </w:p>
    <w:p w:rsidR="00BD6826" w:rsidRDefault="00BD6826" w:rsidP="00BD6826">
      <w:pPr>
        <w:widowControl w:val="0"/>
        <w:tabs>
          <w:tab w:val="right" w:pos="1008"/>
          <w:tab w:val="left" w:pos="1152"/>
          <w:tab w:val="left" w:pos="1872"/>
          <w:tab w:val="left" w:pos="9187"/>
        </w:tabs>
        <w:ind w:left="2088" w:hanging="2088"/>
        <w:jc w:val="left"/>
      </w:pPr>
      <w:r>
        <w:tab/>
        <w:t>2/16/2011</w:t>
      </w:r>
      <w:r>
        <w:tab/>
        <w:t>House</w:t>
      </w:r>
      <w:r>
        <w:tab/>
      </w:r>
      <w:r w:rsidRPr="00D93314">
        <w:t>Referred</w:t>
      </w:r>
      <w:r>
        <w:t xml:space="preserve"> to Committee on </w:t>
      </w:r>
      <w:r w:rsidRPr="00D93314">
        <w:rPr>
          <w:b/>
        </w:rPr>
        <w:t>Ways and Means</w:t>
      </w:r>
      <w:r>
        <w:t xml:space="preserve"> </w:t>
      </w:r>
      <w:r w:rsidRPr="00D93314">
        <w:t>(</w:t>
      </w:r>
      <w:hyperlink r:id="rId8" w:history="1">
        <w:r w:rsidRPr="00D93314">
          <w:rPr>
            <w:rStyle w:val="Hyperlink"/>
          </w:rPr>
          <w:t>House Journal</w:t>
        </w:r>
        <w:r w:rsidRPr="00D93314">
          <w:rPr>
            <w:rStyle w:val="Hyperlink"/>
          </w:rPr>
          <w:noBreakHyphen/>
          <w:t>page 13</w:t>
        </w:r>
      </w:hyperlink>
      <w:r w:rsidRPr="00D93314">
        <w:t>)</w:t>
      </w:r>
    </w:p>
    <w:p w:rsidR="00BD6826" w:rsidRDefault="00BD6826" w:rsidP="00BD6826">
      <w:pPr>
        <w:widowControl w:val="0"/>
        <w:tabs>
          <w:tab w:val="right" w:pos="1008"/>
          <w:tab w:val="left" w:pos="1152"/>
          <w:tab w:val="left" w:pos="1872"/>
          <w:tab w:val="left" w:pos="9187"/>
        </w:tabs>
        <w:ind w:left="2088" w:hanging="2088"/>
        <w:jc w:val="left"/>
      </w:pPr>
    </w:p>
    <w:p w:rsidR="00670F06" w:rsidRPr="00670F06" w:rsidRDefault="00670F06" w:rsidP="00670F06">
      <w:pPr>
        <w:widowControl w:val="0"/>
        <w:tabs>
          <w:tab w:val="right" w:pos="1008"/>
          <w:tab w:val="left" w:pos="1152"/>
          <w:tab w:val="left" w:pos="1872"/>
          <w:tab w:val="left" w:pos="9187"/>
        </w:tabs>
        <w:ind w:left="2088" w:hanging="2088"/>
        <w:jc w:val="left"/>
      </w:pPr>
    </w:p>
    <w:p w:rsidR="00670F06" w:rsidRDefault="00670F06" w:rsidP="00670F06">
      <w:pPr>
        <w:widowControl w:val="0"/>
        <w:jc w:val="left"/>
      </w:pPr>
      <w:r w:rsidRPr="00670F06">
        <w:rPr>
          <w:b/>
        </w:rPr>
        <w:t>VERSIONS OF THIS BILL</w:t>
      </w:r>
    </w:p>
    <w:p w:rsidR="00670F06" w:rsidRDefault="00670F06" w:rsidP="00670F06">
      <w:pPr>
        <w:widowControl w:val="0"/>
        <w:jc w:val="left"/>
      </w:pPr>
    </w:p>
    <w:p w:rsidR="00670F06" w:rsidRDefault="001A4116" w:rsidP="00670F06">
      <w:pPr>
        <w:widowControl w:val="0"/>
        <w:jc w:val="left"/>
      </w:pPr>
      <w:hyperlink r:id="rId9" w:history="1">
        <w:r w:rsidR="00670F06">
          <w:rPr>
            <w:rStyle w:val="Hyperlink"/>
          </w:rPr>
          <w:t>2/16/2011</w:t>
        </w:r>
      </w:hyperlink>
    </w:p>
    <w:p w:rsidR="00670F06" w:rsidRDefault="00670F06" w:rsidP="00670F06"/>
    <w:p w:rsidR="00670F06" w:rsidRDefault="00670F06" w:rsidP="00670F06">
      <w:pPr>
        <w:sectPr w:rsidR="00670F06" w:rsidSect="00670F06">
          <w:pgSz w:w="12240" w:h="15840" w:code="1"/>
          <w:pgMar w:top="1080" w:right="1440" w:bottom="1080" w:left="1440" w:header="720" w:footer="720" w:gutter="0"/>
          <w:cols w:space="720"/>
          <w:noEndnote/>
          <w:docGrid w:linePitch="360"/>
        </w:sectPr>
      </w:pPr>
    </w:p>
    <w:p w:rsidR="00835BB6" w:rsidRDefault="00835BB6" w:rsidP="00835BB6">
      <w:pPr>
        <w:pStyle w:val="BillDots"/>
      </w:pPr>
    </w:p>
    <w:p w:rsidR="00835BB6" w:rsidRDefault="00835BB6" w:rsidP="00835BB6">
      <w:pPr>
        <w:pStyle w:val="Numbersforbill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B6" w:rsidRDefault="00835BB6" w:rsidP="00835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81A7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2CF3">
        <w:rPr>
          <w:color w:val="000000" w:themeColor="text1"/>
          <w:u w:color="000000" w:themeColor="text1"/>
        </w:rPr>
        <w:t>TO AMEND SECTION 12</w:t>
      </w:r>
      <w:r w:rsidR="00B74C93">
        <w:rPr>
          <w:color w:val="000000" w:themeColor="text1"/>
          <w:u w:color="000000" w:themeColor="text1"/>
        </w:rPr>
        <w:noBreakHyphen/>
      </w:r>
      <w:r w:rsidRPr="001D2CF3">
        <w:rPr>
          <w:color w:val="000000" w:themeColor="text1"/>
          <w:u w:color="000000" w:themeColor="text1"/>
        </w:rPr>
        <w:t>36</w:t>
      </w:r>
      <w:r w:rsidR="00B74C93">
        <w:rPr>
          <w:color w:val="000000" w:themeColor="text1"/>
          <w:u w:color="000000" w:themeColor="text1"/>
        </w:rPr>
        <w:noBreakHyphen/>
      </w:r>
      <w:r w:rsidRPr="001D2CF3">
        <w:rPr>
          <w:color w:val="000000" w:themeColor="text1"/>
          <w:u w:color="000000" w:themeColor="text1"/>
        </w:rPr>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JANUARY 1, 2009, AND ALL OR A PORTION MAY OCCUR BEFORE THE TAXPAYER NOTIFIES THE DEPARTMENT OF REVENUE OF ITS INTENTION.</w:t>
      </w:r>
    </w:p>
    <w:p w:rsidR="00A512B7" w:rsidRDefault="00A5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2B7" w:rsidRDefault="00A5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2B7" w:rsidRDefault="00A5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1.</w:t>
      </w:r>
      <w:r>
        <w:rPr>
          <w:color w:val="000000" w:themeColor="text1"/>
          <w:u w:color="000000" w:themeColor="text1"/>
        </w:rPr>
        <w:tab/>
      </w:r>
      <w:r w:rsidRPr="001D2CF3">
        <w:rPr>
          <w:color w:val="000000" w:themeColor="text1"/>
          <w:u w:color="000000" w:themeColor="text1"/>
        </w:rPr>
        <w:t>Section 12</w:t>
      </w:r>
      <w:r w:rsidR="00B74C93">
        <w:rPr>
          <w:color w:val="000000" w:themeColor="text1"/>
          <w:u w:color="000000" w:themeColor="text1"/>
        </w:rPr>
        <w:noBreakHyphen/>
      </w:r>
      <w:r w:rsidRPr="001D2CF3">
        <w:rPr>
          <w:color w:val="000000" w:themeColor="text1"/>
          <w:u w:color="000000" w:themeColor="text1"/>
        </w:rPr>
        <w:t>36</w:t>
      </w:r>
      <w:r w:rsidR="00B74C93">
        <w:rPr>
          <w:color w:val="000000" w:themeColor="text1"/>
          <w:u w:color="000000" w:themeColor="text1"/>
        </w:rPr>
        <w:noBreakHyphen/>
      </w:r>
      <w:r w:rsidRPr="001D2CF3">
        <w:rPr>
          <w:color w:val="000000" w:themeColor="text1"/>
          <w:u w:color="000000" w:themeColor="text1"/>
        </w:rPr>
        <w:t>2120(78) of the 1976 Code, as added by Act 280 of 2010, is amended to read:</w:t>
      </w: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D2CF3">
        <w:rPr>
          <w:color w:val="000000" w:themeColor="text1"/>
          <w:u w:color="000000" w:themeColor="text1"/>
        </w:rPr>
        <w:t>“(78)</w:t>
      </w:r>
      <w:r>
        <w:rPr>
          <w:color w:val="000000" w:themeColor="text1"/>
          <w:u w:color="000000" w:themeColor="text1"/>
        </w:rPr>
        <w:tab/>
      </w:r>
      <w:r w:rsidRPr="001D2CF3">
        <w:rPr>
          <w:color w:val="000000" w:themeColor="text1"/>
          <w:u w:color="000000" w:themeColor="text1"/>
        </w:rPr>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w:t>
      </w:r>
      <w:r w:rsidRPr="001D2CF3">
        <w:rPr>
          <w:color w:val="000000" w:themeColor="text1"/>
          <w:u w:color="000000" w:themeColor="text1"/>
        </w:rPr>
        <w:lastRenderedPageBreak/>
        <w:t>shall notify the department of its intent to qualify and shall invest</w:t>
      </w:r>
      <w:r w:rsidRPr="001D2CF3">
        <w:rPr>
          <w:color w:val="000000" w:themeColor="text1"/>
          <w:u w:val="single" w:color="000000" w:themeColor="text1"/>
        </w:rPr>
        <w:t>, for the period beginning January 1, 2009,</w:t>
      </w:r>
      <w:r w:rsidRPr="001D2CF3">
        <w:rPr>
          <w:color w:val="000000" w:themeColor="text1"/>
          <w:u w:color="000000" w:themeColor="text1"/>
        </w:rPr>
        <w:t xml:space="preserve"> at least twenty million dollars in real or personal property at a single site in this State over the three</w:t>
      </w:r>
      <w:r w:rsidR="00B74C93">
        <w:rPr>
          <w:color w:val="000000" w:themeColor="text1"/>
          <w:u w:color="000000" w:themeColor="text1"/>
        </w:rPr>
        <w:noBreakHyphen/>
      </w:r>
      <w:r w:rsidRPr="001D2CF3">
        <w:rPr>
          <w:color w:val="000000" w:themeColor="text1"/>
          <w:u w:color="000000" w:themeColor="text1"/>
        </w:rPr>
        <w:t xml:space="preserve">year period beginning on the date provided by the taxpayer to the department in its notices.  </w:t>
      </w:r>
      <w:r w:rsidRPr="001D2CF3">
        <w:rPr>
          <w:color w:val="000000" w:themeColor="text1"/>
          <w:u w:val="single" w:color="000000" w:themeColor="text1"/>
        </w:rPr>
        <w:t>The qualifying investment of at least twenty million dollars may begin at any time period after December 31, 2008, and all or a portion may occur before the taxpayer provides the notice.</w:t>
      </w:r>
      <w:r w:rsidRPr="001D2CF3">
        <w:rPr>
          <w:color w:val="000000" w:themeColor="text1"/>
          <w:u w:color="000000" w:themeColor="text1"/>
        </w:rPr>
        <w:t xml:space="preserve">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B74C93" w:rsidRPr="00B74C93">
        <w:rPr>
          <w:color w:val="000000" w:themeColor="text1"/>
          <w:u w:color="000000" w:themeColor="text1"/>
        </w:rPr>
        <w:t>’</w:t>
      </w:r>
      <w:r w:rsidRPr="001D2CF3">
        <w:rPr>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B74C93" w:rsidRPr="00B74C93">
        <w:rPr>
          <w:color w:val="000000" w:themeColor="text1"/>
          <w:u w:color="000000" w:themeColor="text1"/>
        </w:rPr>
        <w:t>’</w:t>
      </w:r>
      <w:r w:rsidRPr="001D2CF3">
        <w:rPr>
          <w:color w:val="000000" w:themeColor="text1"/>
          <w:u w:color="000000" w:themeColor="text1"/>
        </w:rPr>
        <w:t>s failure to meet the twenty million dollar investment requirement.  The running of the periods of limitations for assessment of taxes provided in Section 12</w:t>
      </w:r>
      <w:r w:rsidR="00B74C93">
        <w:rPr>
          <w:color w:val="000000" w:themeColor="text1"/>
          <w:u w:color="000000" w:themeColor="text1"/>
        </w:rPr>
        <w:noBreakHyphen/>
      </w:r>
      <w:r w:rsidRPr="001D2CF3">
        <w:rPr>
          <w:color w:val="000000" w:themeColor="text1"/>
          <w:u w:color="000000" w:themeColor="text1"/>
        </w:rPr>
        <w:t>54</w:t>
      </w:r>
      <w:r w:rsidR="00B74C93">
        <w:rPr>
          <w:color w:val="000000" w:themeColor="text1"/>
          <w:u w:color="000000" w:themeColor="text1"/>
        </w:rPr>
        <w:noBreakHyphen/>
      </w:r>
      <w:r w:rsidRPr="001D2CF3">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p>
    <w:p w:rsidR="00181A73" w:rsidRPr="001D2CF3"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81A73" w:rsidP="0018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2.</w:t>
      </w:r>
      <w:r>
        <w:rPr>
          <w:color w:val="000000" w:themeColor="text1"/>
          <w:u w:color="000000" w:themeColor="text1"/>
        </w:rPr>
        <w:tab/>
      </w:r>
      <w:r w:rsidRPr="0081336F">
        <w:rPr>
          <w:color w:val="000000" w:themeColor="text1"/>
          <w:u w:color="000000" w:themeColor="text1"/>
        </w:rPr>
        <w:t>This act takes effect upon approval by the Governor and applies to all qualifying facilities placed in service after December 31, 2008, regardless of the date of the taxpayer</w:t>
      </w:r>
      <w:r w:rsidR="00B74C93" w:rsidRPr="00B74C93">
        <w:rPr>
          <w:color w:val="000000" w:themeColor="text1"/>
          <w:u w:color="000000" w:themeColor="text1"/>
        </w:rPr>
        <w:t>’</w:t>
      </w:r>
      <w:r w:rsidRPr="0081336F">
        <w:rPr>
          <w:color w:val="000000" w:themeColor="text1"/>
          <w:u w:color="000000" w:themeColor="text1"/>
        </w:rPr>
        <w:t>s notice and regardless of the date the taxpayer began making the requisite capital investment so long as the capital investment is made after December 31, 2008.</w:t>
      </w:r>
    </w:p>
    <w:p w:rsidR="00552327" w:rsidRDefault="00B74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327" w:rsidRDefault="00552327" w:rsidP="00670F06">
      <w:pPr>
        <w:suppressAutoHyphens/>
      </w:pPr>
    </w:p>
    <w:sectPr w:rsidR="00552327" w:rsidSect="00670F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2B7" w:rsidRDefault="00A512B7" w:rsidP="009F0C77">
      <w:r>
        <w:separator/>
      </w:r>
    </w:p>
  </w:endnote>
  <w:endnote w:type="continuationSeparator" w:id="0">
    <w:p w:rsidR="00A512B7" w:rsidRDefault="00A51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68B2BC-FF6E-4375-9DAB-760D20E55AC9}"/>
    <w:embedBold r:id="rId2" w:fontKey="{130065CA-094B-41C9-BEE5-7F291F5B435C}"/>
  </w:font>
  <w:font w:name="Calibri">
    <w:panose1 w:val="020F0502020204030204"/>
    <w:charset w:val="00"/>
    <w:family w:val="swiss"/>
    <w:pitch w:val="variable"/>
    <w:sig w:usb0="E10002FF" w:usb1="4000ACFF" w:usb2="00000009" w:usb3="00000000" w:csb0="0000019F" w:csb1="00000000"/>
    <w:embedRegular r:id="rId3" w:fontKey="{AA9D2785-F185-4B28-A67F-CC86951C2569}"/>
  </w:font>
  <w:font w:name="Tahoma">
    <w:panose1 w:val="020B0604030504040204"/>
    <w:charset w:val="00"/>
    <w:family w:val="swiss"/>
    <w:pitch w:val="variable"/>
    <w:sig w:usb0="21002A87" w:usb1="80000000" w:usb2="00000008" w:usb3="00000000" w:csb0="000101FF" w:csb1="00000000"/>
    <w:embedRegular r:id="rId4" w:fontKey="{124BC9E2-7E03-41A9-8E4A-B3CE1F9FCCDD}"/>
  </w:font>
  <w:font w:name="Cambria">
    <w:panose1 w:val="02040503050406030204"/>
    <w:charset w:val="00"/>
    <w:family w:val="roman"/>
    <w:pitch w:val="variable"/>
    <w:sig w:usb0="E00002FF" w:usb1="400004FF" w:usb2="00000000" w:usb3="00000000" w:csb0="0000019F" w:csb1="00000000"/>
    <w:embedRegular r:id="rId5" w:fontKey="{D6C10D74-C6B7-4F09-8C78-F020E782A6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F06" w:rsidRPr="00552327" w:rsidRDefault="00670F06" w:rsidP="00552327">
    <w:pPr>
      <w:pStyle w:val="Footer"/>
      <w:tabs>
        <w:tab w:val="clear" w:pos="4680"/>
        <w:tab w:val="clear" w:pos="9360"/>
        <w:tab w:val="center" w:pos="2995"/>
      </w:tabs>
      <w:spacing w:before="120"/>
    </w:pPr>
    <w:r>
      <w:t>[3695]</w:t>
    </w:r>
    <w:r>
      <w:tab/>
    </w:r>
    <w:r w:rsidR="001A4116">
      <w:fldChar w:fldCharType="begin"/>
    </w:r>
    <w:r w:rsidR="001A4116">
      <w:instrText xml:space="preserve"> PAGE  \* MERGEFORMAT </w:instrText>
    </w:r>
    <w:r w:rsidR="001A4116">
      <w:fldChar w:fldCharType="separate"/>
    </w:r>
    <w:r w:rsidR="001A4116">
      <w:rPr>
        <w:noProof/>
      </w:rPr>
      <w:t>1</w:t>
    </w:r>
    <w:r w:rsidR="001A41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2B7" w:rsidRDefault="00A512B7" w:rsidP="009F0C77">
      <w:r>
        <w:separator/>
      </w:r>
    </w:p>
  </w:footnote>
  <w:footnote w:type="continuationSeparator" w:id="0">
    <w:p w:rsidR="00A512B7" w:rsidRDefault="00A51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9DG11"/>
    <w:docVar w:name="CoverBillType" w:val="b"/>
    <w:docVar w:name="docpath" w:val="L:\Council\bills\NBD\11279DG11.DOCX"/>
    <w:docVar w:name="dvBillNumber" w:val="3695"/>
    <w:docVar w:name="dvBillNumberPrefix" w:val="H. "/>
    <w:docVar w:name="dvOriginalBody" w:val="House"/>
    <w:docVar w:name="dvSteno" w:val="NBD"/>
    <w:docVar w:name="NameofBody" w:val="h"/>
    <w:docVar w:name="vgroup2" w:val="Council"/>
  </w:docVars>
  <w:rsids>
    <w:rsidRoot w:val="006A6508"/>
    <w:rsid w:val="00011869"/>
    <w:rsid w:val="00037E2B"/>
    <w:rsid w:val="000B2E32"/>
    <w:rsid w:val="000E1785"/>
    <w:rsid w:val="000F40FA"/>
    <w:rsid w:val="0010776B"/>
    <w:rsid w:val="00110D84"/>
    <w:rsid w:val="00133E66"/>
    <w:rsid w:val="001435A3"/>
    <w:rsid w:val="00181A73"/>
    <w:rsid w:val="001A4116"/>
    <w:rsid w:val="001D08F2"/>
    <w:rsid w:val="001D525B"/>
    <w:rsid w:val="001D7F4F"/>
    <w:rsid w:val="001F67EA"/>
    <w:rsid w:val="002321B6"/>
    <w:rsid w:val="00250967"/>
    <w:rsid w:val="002543C8"/>
    <w:rsid w:val="00284AAE"/>
    <w:rsid w:val="002D73FB"/>
    <w:rsid w:val="002E5912"/>
    <w:rsid w:val="00305207"/>
    <w:rsid w:val="003212AB"/>
    <w:rsid w:val="00325348"/>
    <w:rsid w:val="0032732C"/>
    <w:rsid w:val="00336AD0"/>
    <w:rsid w:val="0037079A"/>
    <w:rsid w:val="003D01E8"/>
    <w:rsid w:val="003E5288"/>
    <w:rsid w:val="003F29D5"/>
    <w:rsid w:val="003F6D79"/>
    <w:rsid w:val="0041760A"/>
    <w:rsid w:val="00417C01"/>
    <w:rsid w:val="004809EE"/>
    <w:rsid w:val="004E0AA0"/>
    <w:rsid w:val="004E7D54"/>
    <w:rsid w:val="005273C6"/>
    <w:rsid w:val="00530A69"/>
    <w:rsid w:val="005452C6"/>
    <w:rsid w:val="00545593"/>
    <w:rsid w:val="00552327"/>
    <w:rsid w:val="00577C6C"/>
    <w:rsid w:val="005B24E5"/>
    <w:rsid w:val="005C2629"/>
    <w:rsid w:val="005C2FE2"/>
    <w:rsid w:val="005E2BC9"/>
    <w:rsid w:val="00605102"/>
    <w:rsid w:val="006215AA"/>
    <w:rsid w:val="00670F06"/>
    <w:rsid w:val="006913C9"/>
    <w:rsid w:val="00691A80"/>
    <w:rsid w:val="0069470D"/>
    <w:rsid w:val="006A6508"/>
    <w:rsid w:val="006F3A78"/>
    <w:rsid w:val="00734F00"/>
    <w:rsid w:val="007A70AE"/>
    <w:rsid w:val="00835BB6"/>
    <w:rsid w:val="008362E8"/>
    <w:rsid w:val="008A1768"/>
    <w:rsid w:val="008F4429"/>
    <w:rsid w:val="0094021A"/>
    <w:rsid w:val="009453A6"/>
    <w:rsid w:val="00997507"/>
    <w:rsid w:val="009C39C0"/>
    <w:rsid w:val="009C6A0B"/>
    <w:rsid w:val="009F0C77"/>
    <w:rsid w:val="009F4DD1"/>
    <w:rsid w:val="00A41684"/>
    <w:rsid w:val="00A512B7"/>
    <w:rsid w:val="00A64E80"/>
    <w:rsid w:val="00A72BCD"/>
    <w:rsid w:val="00A741D9"/>
    <w:rsid w:val="00A833AB"/>
    <w:rsid w:val="00A9741D"/>
    <w:rsid w:val="00AD4B17"/>
    <w:rsid w:val="00B412D4"/>
    <w:rsid w:val="00B74C93"/>
    <w:rsid w:val="00B80807"/>
    <w:rsid w:val="00BD6826"/>
    <w:rsid w:val="00BE3C22"/>
    <w:rsid w:val="00C0345E"/>
    <w:rsid w:val="00C3483A"/>
    <w:rsid w:val="00C74E9D"/>
    <w:rsid w:val="00C82FD3"/>
    <w:rsid w:val="00C92819"/>
    <w:rsid w:val="00CC6B7B"/>
    <w:rsid w:val="00CD2089"/>
    <w:rsid w:val="00D73A67"/>
    <w:rsid w:val="00D9657D"/>
    <w:rsid w:val="00D970A9"/>
    <w:rsid w:val="00DB428B"/>
    <w:rsid w:val="00DC4849"/>
    <w:rsid w:val="00DC7879"/>
    <w:rsid w:val="00DE7DE0"/>
    <w:rsid w:val="00DF3845"/>
    <w:rsid w:val="00E07AF9"/>
    <w:rsid w:val="00E41911"/>
    <w:rsid w:val="00E92EEF"/>
    <w:rsid w:val="00EC4583"/>
    <w:rsid w:val="00EC5621"/>
    <w:rsid w:val="00F106C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0A4965-0BDF-42D5-90B4-8E6FF045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C93"/>
    <w:rPr>
      <w:rFonts w:ascii="Tahoma" w:hAnsi="Tahoma" w:cs="Tahoma"/>
      <w:sz w:val="16"/>
      <w:szCs w:val="16"/>
    </w:rPr>
  </w:style>
  <w:style w:type="character" w:customStyle="1" w:styleId="BalloonTextChar">
    <w:name w:val="Balloon Text Char"/>
    <w:basedOn w:val="DefaultParagraphFont"/>
    <w:link w:val="BalloonText"/>
    <w:uiPriority w:val="99"/>
    <w:semiHidden/>
    <w:rsid w:val="00B74C93"/>
    <w:rPr>
      <w:rFonts w:ascii="Tahoma" w:eastAsia="Times New Roman" w:hAnsi="Tahoma" w:cs="Tahoma"/>
      <w:sz w:val="16"/>
      <w:szCs w:val="16"/>
    </w:rPr>
  </w:style>
  <w:style w:type="character" w:styleId="Hyperlink">
    <w:name w:val="Hyperlink"/>
    <w:basedOn w:val="DefaultParagraphFont"/>
    <w:uiPriority w:val="99"/>
    <w:unhideWhenUsed/>
    <w:rsid w:val="00670F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6-11.docx" TargetMode="External"/><Relationship Id="rId3" Type="http://schemas.openxmlformats.org/officeDocument/2006/relationships/settings" Target="settings.xml"/><Relationship Id="rId7" Type="http://schemas.openxmlformats.org/officeDocument/2006/relationships/hyperlink" Target="file:///h:\h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95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5C5D2-6552-40BC-A456-EA8EB8003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590</Words>
  <Characters>3104</Characters>
  <Application>Microsoft Office Word</Application>
  <DocSecurity>4</DocSecurity>
  <Lines>98</Lines>
  <Paragraphs>24</Paragraphs>
  <ScaleCrop>false</ScaleCrop>
  <Company> </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3695: Sales and use tax exemptions - South Carolina Legislature Online</dc:title>
  <dc:subject/>
  <dc:creator>NikiDowney</dc:creator>
  <cp:keywords/>
  <dc:description/>
  <cp:lastModifiedBy>N Cumfer</cp:lastModifiedBy>
  <cp:revision>2</cp:revision>
  <cp:lastPrinted>2011-02-09T14:41:00Z</cp:lastPrinted>
  <dcterms:created xsi:type="dcterms:W3CDTF">2014-11-21T21:46:00Z</dcterms:created>
  <dcterms:modified xsi:type="dcterms:W3CDTF">2014-11-21T21:46:00Z</dcterms:modified>
</cp:coreProperties>
</file>