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36CD1">
        <w:rPr>
          <w:rFonts w:eastAsia="Times New Roman" w:cs="Times New Roman"/>
          <w:b/>
          <w:szCs w:val="20"/>
        </w:rPr>
        <w:t>South Carolina General Assembly</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CD1">
        <w:rPr>
          <w:rFonts w:eastAsia="Times New Roman" w:cs="Times New Roman"/>
          <w:szCs w:val="20"/>
        </w:rPr>
        <w:t>119th Session, 2011-2012</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0F3737"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A204, R213, S429</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b/>
          <w:szCs w:val="20"/>
        </w:rPr>
        <w:t>STATUS INFORMATION</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szCs w:val="20"/>
        </w:rPr>
        <w:t>General Bill</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szCs w:val="20"/>
        </w:rPr>
        <w:t>Sponsors: Senators Hayes and Ford</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szCs w:val="20"/>
        </w:rPr>
        <w:t>Document Path: l:\council\bills\nbd\11159dg11.docx</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szCs w:val="20"/>
        </w:rPr>
        <w:t>Companion/Similar bill(s): 3446</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25, 2011</w:t>
      </w: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 2012</w:t>
      </w: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2012</w:t>
      </w: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22353B" w:rsidRDefault="0022353B"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szCs w:val="20"/>
        </w:rPr>
        <w:t>Summary: Uniform Principal and Income Act</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336CD1" w:rsidP="00336CD1">
      <w:pPr>
        <w:widowControl w:val="0"/>
        <w:tabs>
          <w:tab w:val="center" w:pos="590"/>
          <w:tab w:val="center" w:pos="1440"/>
          <w:tab w:val="left" w:pos="1872"/>
          <w:tab w:val="left" w:pos="9187"/>
        </w:tabs>
        <w:rPr>
          <w:rFonts w:eastAsia="Times New Roman" w:cs="Times New Roman"/>
          <w:szCs w:val="20"/>
        </w:rPr>
      </w:pPr>
      <w:r w:rsidRPr="00336CD1">
        <w:rPr>
          <w:rFonts w:eastAsia="Times New Roman" w:cs="Times New Roman"/>
          <w:b/>
          <w:szCs w:val="20"/>
        </w:rPr>
        <w:t>HISTORY OF LEGISLATIVE ACTIONS</w:t>
      </w:r>
    </w:p>
    <w:p w:rsidR="00336CD1" w:rsidRPr="00336CD1" w:rsidRDefault="00336CD1" w:rsidP="00336CD1">
      <w:pPr>
        <w:widowControl w:val="0"/>
        <w:tabs>
          <w:tab w:val="center" w:pos="590"/>
          <w:tab w:val="center" w:pos="1440"/>
          <w:tab w:val="left" w:pos="1872"/>
          <w:tab w:val="left" w:pos="9187"/>
        </w:tabs>
        <w:rPr>
          <w:rFonts w:eastAsia="Times New Roman" w:cs="Times New Roman"/>
          <w:szCs w:val="20"/>
        </w:rPr>
      </w:pPr>
    </w:p>
    <w:p w:rsidR="00336CD1" w:rsidRPr="00336CD1" w:rsidRDefault="00336CD1" w:rsidP="00336CD1">
      <w:pPr>
        <w:widowControl w:val="0"/>
        <w:tabs>
          <w:tab w:val="center" w:pos="590"/>
          <w:tab w:val="center" w:pos="1440"/>
          <w:tab w:val="left" w:pos="1872"/>
          <w:tab w:val="left" w:pos="9187"/>
        </w:tabs>
        <w:rPr>
          <w:rFonts w:eastAsia="Times New Roman" w:cs="Times New Roman"/>
          <w:szCs w:val="20"/>
        </w:rPr>
      </w:pPr>
      <w:r w:rsidRPr="00336CD1">
        <w:rPr>
          <w:rFonts w:eastAsia="Times New Roman" w:cs="Times New Roman"/>
          <w:szCs w:val="20"/>
          <w:u w:val="single"/>
        </w:rPr>
        <w:tab/>
        <w:t>Date</w:t>
      </w:r>
      <w:r w:rsidRPr="00336CD1">
        <w:rPr>
          <w:rFonts w:eastAsia="Times New Roman" w:cs="Times New Roman"/>
          <w:szCs w:val="20"/>
          <w:u w:val="single"/>
        </w:rPr>
        <w:tab/>
        <w:t>Body</w:t>
      </w:r>
      <w:r w:rsidRPr="00336CD1">
        <w:rPr>
          <w:rFonts w:eastAsia="Times New Roman" w:cs="Times New Roman"/>
          <w:szCs w:val="20"/>
          <w:u w:val="single"/>
        </w:rPr>
        <w:tab/>
        <w:t>Action Description with journal page number</w:t>
      </w:r>
      <w:r w:rsidRPr="00336CD1">
        <w:rPr>
          <w:rFonts w:eastAsia="Times New Roman" w:cs="Times New Roman"/>
          <w:szCs w:val="20"/>
          <w:u w:val="single"/>
        </w:rPr>
        <w:tab/>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D74ACC">
        <w:rPr>
          <w:rFonts w:cs="Times New Roman"/>
        </w:rPr>
        <w:t>Introduced and read first time (</w:t>
      </w:r>
      <w:hyperlink r:id="rId6" w:history="1">
        <w:r w:rsidRPr="00D74ACC">
          <w:rPr>
            <w:rStyle w:val="Hyperlink"/>
            <w:rFonts w:cs="Times New Roman"/>
          </w:rPr>
          <w:t>Senate Journal</w:t>
        </w:r>
        <w:r w:rsidRPr="00D74ACC">
          <w:rPr>
            <w:rStyle w:val="Hyperlink"/>
            <w:rFonts w:cs="Times New Roman"/>
          </w:rPr>
          <w:noBreakHyphen/>
          <w:t>page 13</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D74ACC">
        <w:rPr>
          <w:rFonts w:cs="Times New Roman"/>
        </w:rPr>
        <w:t>Ref</w:t>
      </w:r>
      <w:r>
        <w:rPr>
          <w:rFonts w:cs="Times New Roman"/>
        </w:rPr>
        <w:t xml:space="preserve">erred to Committee on </w:t>
      </w:r>
      <w:r w:rsidRPr="00D74ACC">
        <w:rPr>
          <w:rFonts w:cs="Times New Roman"/>
          <w:b/>
        </w:rPr>
        <w:t>Judiciary</w:t>
      </w:r>
      <w:r>
        <w:rPr>
          <w:rFonts w:cs="Times New Roman"/>
        </w:rPr>
        <w:t xml:space="preserve"> </w:t>
      </w:r>
      <w:r w:rsidRPr="00D74ACC">
        <w:rPr>
          <w:rFonts w:cs="Times New Roman"/>
        </w:rPr>
        <w:t>(</w:t>
      </w:r>
      <w:hyperlink r:id="rId7" w:history="1">
        <w:r w:rsidRPr="00D74ACC">
          <w:rPr>
            <w:rStyle w:val="Hyperlink"/>
            <w:rFonts w:cs="Times New Roman"/>
          </w:rPr>
          <w:t>Senate Journal</w:t>
        </w:r>
        <w:r w:rsidRPr="00D74ACC">
          <w:rPr>
            <w:rStyle w:val="Hyperlink"/>
            <w:rFonts w:cs="Times New Roman"/>
          </w:rPr>
          <w:noBreakHyphen/>
          <w:t>page 13</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1/28/2011</w:t>
      </w:r>
      <w:r>
        <w:rPr>
          <w:rFonts w:cs="Times New Roman"/>
        </w:rPr>
        <w:tab/>
      </w:r>
      <w:r>
        <w:rPr>
          <w:rFonts w:cs="Times New Roman"/>
        </w:rPr>
        <w:tab/>
      </w:r>
      <w:r w:rsidRPr="00D74ACC">
        <w:rPr>
          <w:rFonts w:cs="Times New Roman"/>
        </w:rPr>
        <w:t>Scrivener's error corrected</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t>Senate</w:t>
      </w:r>
      <w:r>
        <w:rPr>
          <w:rFonts w:cs="Times New Roman"/>
        </w:rPr>
        <w:tab/>
      </w:r>
      <w:r w:rsidRPr="00D74ACC">
        <w:rPr>
          <w:rFonts w:cs="Times New Roman"/>
        </w:rPr>
        <w:t>Referred to Subc</w:t>
      </w:r>
      <w:r>
        <w:rPr>
          <w:rFonts w:cs="Times New Roman"/>
        </w:rPr>
        <w:t xml:space="preserve">ommittee: Rankin (ch), Campsen, </w:t>
      </w:r>
      <w:r w:rsidRPr="00D74ACC">
        <w:rPr>
          <w:rFonts w:cs="Times New Roman"/>
        </w:rPr>
        <w:t>Coleman, Davis, Nicholson</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74ACC">
        <w:rPr>
          <w:rFonts w:cs="Times New Roman"/>
        </w:rPr>
        <w:t>Committee r</w:t>
      </w:r>
      <w:r>
        <w:rPr>
          <w:rFonts w:cs="Times New Roman"/>
        </w:rPr>
        <w:t xml:space="preserve">eport: Favorable with amendment </w:t>
      </w:r>
      <w:r w:rsidRPr="00D74ACC">
        <w:rPr>
          <w:rFonts w:cs="Times New Roman"/>
          <w:b/>
        </w:rPr>
        <w:t>Judiciary</w:t>
      </w:r>
      <w:r w:rsidRPr="00D74ACC">
        <w:rPr>
          <w:rFonts w:cs="Times New Roman"/>
        </w:rPr>
        <w:t xml:space="preserve"> (</w:t>
      </w:r>
      <w:hyperlink r:id="rId8" w:history="1">
        <w:r w:rsidRPr="00D74ACC">
          <w:rPr>
            <w:rStyle w:val="Hyperlink"/>
            <w:rFonts w:cs="Times New Roman"/>
          </w:rPr>
          <w:t>Senate Journal</w:t>
        </w:r>
        <w:r w:rsidRPr="00D74ACC">
          <w:rPr>
            <w:rStyle w:val="Hyperlink"/>
            <w:rFonts w:cs="Times New Roman"/>
          </w:rPr>
          <w:noBreakHyphen/>
          <w:t>page 13</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74ACC">
        <w:rPr>
          <w:rFonts w:cs="Times New Roman"/>
        </w:rPr>
        <w:t>Committee Amendment Adopted (</w:t>
      </w:r>
      <w:hyperlink r:id="rId9" w:history="1">
        <w:r w:rsidRPr="00D74ACC">
          <w:rPr>
            <w:rStyle w:val="Hyperlink"/>
            <w:rFonts w:cs="Times New Roman"/>
          </w:rPr>
          <w:t>Senate Journal</w:t>
        </w:r>
        <w:r w:rsidRPr="00D74ACC">
          <w:rPr>
            <w:rStyle w:val="Hyperlink"/>
            <w:rFonts w:cs="Times New Roman"/>
          </w:rPr>
          <w:noBreakHyphen/>
          <w:t>page 52</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74ACC">
        <w:rPr>
          <w:rFonts w:cs="Times New Roman"/>
        </w:rPr>
        <w:t>Read second time (</w:t>
      </w:r>
      <w:hyperlink r:id="rId10" w:history="1">
        <w:r w:rsidRPr="00D74ACC">
          <w:rPr>
            <w:rStyle w:val="Hyperlink"/>
            <w:rFonts w:cs="Times New Roman"/>
          </w:rPr>
          <w:t>Senate Journal</w:t>
        </w:r>
        <w:r w:rsidRPr="00D74ACC">
          <w:rPr>
            <w:rStyle w:val="Hyperlink"/>
            <w:rFonts w:cs="Times New Roman"/>
          </w:rPr>
          <w:noBreakHyphen/>
          <w:t>page 52</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74ACC">
        <w:rPr>
          <w:rFonts w:cs="Times New Roman"/>
        </w:rPr>
        <w:t>Roll call Ayes</w:t>
      </w:r>
      <w:r>
        <w:rPr>
          <w:rFonts w:cs="Times New Roman"/>
        </w:rPr>
        <w:noBreakHyphen/>
      </w:r>
      <w:r w:rsidRPr="00D74ACC">
        <w:rPr>
          <w:rFonts w:cs="Times New Roman"/>
        </w:rPr>
        <w:t>34  Nays</w:t>
      </w:r>
      <w:r>
        <w:rPr>
          <w:rFonts w:cs="Times New Roman"/>
        </w:rPr>
        <w:noBreakHyphen/>
      </w:r>
      <w:r w:rsidRPr="00D74ACC">
        <w:rPr>
          <w:rFonts w:cs="Times New Roman"/>
        </w:rPr>
        <w:t>0 (</w:t>
      </w:r>
      <w:hyperlink r:id="rId11" w:history="1">
        <w:r w:rsidRPr="00D74ACC">
          <w:rPr>
            <w:rStyle w:val="Hyperlink"/>
            <w:rFonts w:cs="Times New Roman"/>
          </w:rPr>
          <w:t>Senate Journal</w:t>
        </w:r>
        <w:r w:rsidRPr="00D74ACC">
          <w:rPr>
            <w:rStyle w:val="Hyperlink"/>
            <w:rFonts w:cs="Times New Roman"/>
          </w:rPr>
          <w:noBreakHyphen/>
          <w:t>page 52</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D74ACC">
        <w:rPr>
          <w:rFonts w:cs="Times New Roman"/>
        </w:rPr>
        <w:t>Unanimous co</w:t>
      </w:r>
      <w:r>
        <w:rPr>
          <w:rFonts w:cs="Times New Roman"/>
        </w:rPr>
        <w:t xml:space="preserve">nsent for third reading on next </w:t>
      </w:r>
      <w:r w:rsidRPr="00D74ACC">
        <w:rPr>
          <w:rFonts w:cs="Times New Roman"/>
        </w:rPr>
        <w:t>legislative day (</w:t>
      </w:r>
      <w:hyperlink r:id="rId12" w:history="1">
        <w:r w:rsidRPr="00D74ACC">
          <w:rPr>
            <w:rStyle w:val="Hyperlink"/>
            <w:rFonts w:cs="Times New Roman"/>
          </w:rPr>
          <w:t>Senate Journal</w:t>
        </w:r>
        <w:r w:rsidRPr="00D74ACC">
          <w:rPr>
            <w:rStyle w:val="Hyperlink"/>
            <w:rFonts w:cs="Times New Roman"/>
          </w:rPr>
          <w:noBreakHyphen/>
          <w:t>page 52</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D74ACC">
        <w:rPr>
          <w:rFonts w:cs="Times New Roman"/>
        </w:rPr>
        <w:t>Read third time a</w:t>
      </w:r>
      <w:r>
        <w:rPr>
          <w:rFonts w:cs="Times New Roman"/>
        </w:rPr>
        <w:t xml:space="preserve">nd sent to House </w:t>
      </w:r>
      <w:r w:rsidRPr="00D74ACC">
        <w:rPr>
          <w:rFonts w:cs="Times New Roman"/>
        </w:rPr>
        <w:t>(</w:t>
      </w:r>
      <w:hyperlink r:id="rId13" w:history="1">
        <w:r w:rsidRPr="00D74ACC">
          <w:rPr>
            <w:rStyle w:val="Hyperlink"/>
            <w:rFonts w:cs="Times New Roman"/>
          </w:rPr>
          <w:t>Senate Journal</w:t>
        </w:r>
        <w:r w:rsidRPr="00D74ACC">
          <w:rPr>
            <w:rStyle w:val="Hyperlink"/>
            <w:rFonts w:cs="Times New Roman"/>
          </w:rPr>
          <w:noBreakHyphen/>
          <w:t>page 1</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r>
      <w:r>
        <w:rPr>
          <w:rFonts w:cs="Times New Roman"/>
        </w:rPr>
        <w:tab/>
      </w:r>
      <w:r w:rsidRPr="00D74ACC">
        <w:rPr>
          <w:rFonts w:cs="Times New Roman"/>
        </w:rPr>
        <w:t>Scrivener's error corrected</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D74ACC">
        <w:rPr>
          <w:rFonts w:cs="Times New Roman"/>
        </w:rPr>
        <w:t>Introduced and read first time (</w:t>
      </w:r>
      <w:hyperlink r:id="rId14" w:history="1">
        <w:r w:rsidRPr="00D74ACC">
          <w:rPr>
            <w:rStyle w:val="Hyperlink"/>
            <w:rFonts w:cs="Times New Roman"/>
          </w:rPr>
          <w:t>House Journal</w:t>
        </w:r>
        <w:r w:rsidRPr="00D74ACC">
          <w:rPr>
            <w:rStyle w:val="Hyperlink"/>
            <w:rFonts w:cs="Times New Roman"/>
          </w:rPr>
          <w:noBreakHyphen/>
          <w:t>page 6</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D74ACC">
        <w:rPr>
          <w:rFonts w:cs="Times New Roman"/>
        </w:rPr>
        <w:t>Referred</w:t>
      </w:r>
      <w:r>
        <w:rPr>
          <w:rFonts w:cs="Times New Roman"/>
        </w:rPr>
        <w:t xml:space="preserve"> to Committee on </w:t>
      </w:r>
      <w:r w:rsidRPr="00D74ACC">
        <w:rPr>
          <w:rFonts w:cs="Times New Roman"/>
          <w:b/>
        </w:rPr>
        <w:t>Ways and Means</w:t>
      </w:r>
      <w:r>
        <w:rPr>
          <w:rFonts w:cs="Times New Roman"/>
        </w:rPr>
        <w:t xml:space="preserve"> </w:t>
      </w:r>
      <w:r w:rsidRPr="00D74ACC">
        <w:rPr>
          <w:rFonts w:cs="Times New Roman"/>
        </w:rPr>
        <w:t>(</w:t>
      </w:r>
      <w:hyperlink r:id="rId15" w:history="1">
        <w:r w:rsidRPr="00D74ACC">
          <w:rPr>
            <w:rStyle w:val="Hyperlink"/>
            <w:rFonts w:cs="Times New Roman"/>
          </w:rPr>
          <w:t>House Journal</w:t>
        </w:r>
        <w:r w:rsidRPr="00D74ACC">
          <w:rPr>
            <w:rStyle w:val="Hyperlink"/>
            <w:rFonts w:cs="Times New Roman"/>
          </w:rPr>
          <w:noBreakHyphen/>
          <w:t>page 6</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D74ACC">
        <w:rPr>
          <w:rFonts w:cs="Times New Roman"/>
        </w:rPr>
        <w:t>Committee r</w:t>
      </w:r>
      <w:r>
        <w:rPr>
          <w:rFonts w:cs="Times New Roman"/>
        </w:rPr>
        <w:t xml:space="preserve">eport: Favorable </w:t>
      </w:r>
      <w:r w:rsidRPr="00D74ACC">
        <w:rPr>
          <w:rFonts w:cs="Times New Roman"/>
          <w:b/>
        </w:rPr>
        <w:t>Ways and Means</w:t>
      </w:r>
      <w:r>
        <w:rPr>
          <w:rFonts w:cs="Times New Roman"/>
        </w:rPr>
        <w:t xml:space="preserve"> </w:t>
      </w:r>
      <w:r w:rsidRPr="00D74ACC">
        <w:rPr>
          <w:rFonts w:cs="Times New Roman"/>
        </w:rPr>
        <w:t>(</w:t>
      </w:r>
      <w:hyperlink r:id="rId16" w:history="1">
        <w:r w:rsidRPr="00D74ACC">
          <w:rPr>
            <w:rStyle w:val="Hyperlink"/>
            <w:rFonts w:cs="Times New Roman"/>
          </w:rPr>
          <w:t>House Journal</w:t>
        </w:r>
        <w:r w:rsidRPr="00D74ACC">
          <w:rPr>
            <w:rStyle w:val="Hyperlink"/>
            <w:rFonts w:cs="Times New Roman"/>
          </w:rPr>
          <w:noBreakHyphen/>
          <w:t>page 113</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74ACC">
        <w:rPr>
          <w:rFonts w:cs="Times New Roman"/>
        </w:rPr>
        <w:t>Read second time (</w:t>
      </w:r>
      <w:hyperlink r:id="rId17" w:history="1">
        <w:r w:rsidRPr="00D74ACC">
          <w:rPr>
            <w:rStyle w:val="Hyperlink"/>
            <w:rFonts w:cs="Times New Roman"/>
          </w:rPr>
          <w:t>House Journal</w:t>
        </w:r>
        <w:r w:rsidRPr="00D74ACC">
          <w:rPr>
            <w:rStyle w:val="Hyperlink"/>
            <w:rFonts w:cs="Times New Roman"/>
          </w:rPr>
          <w:noBreakHyphen/>
          <w:t>page 114</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74ACC">
        <w:rPr>
          <w:rFonts w:cs="Times New Roman"/>
        </w:rPr>
        <w:t>Roll call Yeas</w:t>
      </w:r>
      <w:r>
        <w:rPr>
          <w:rFonts w:cs="Times New Roman"/>
        </w:rPr>
        <w:noBreakHyphen/>
      </w:r>
      <w:r w:rsidRPr="00D74ACC">
        <w:rPr>
          <w:rFonts w:cs="Times New Roman"/>
        </w:rPr>
        <w:t>101  Nays</w:t>
      </w:r>
      <w:r>
        <w:rPr>
          <w:rFonts w:cs="Times New Roman"/>
        </w:rPr>
        <w:noBreakHyphen/>
      </w:r>
      <w:r w:rsidRPr="00D74ACC">
        <w:rPr>
          <w:rFonts w:cs="Times New Roman"/>
        </w:rPr>
        <w:t>0 (</w:t>
      </w:r>
      <w:hyperlink r:id="rId18" w:history="1">
        <w:r w:rsidRPr="00D74ACC">
          <w:rPr>
            <w:rStyle w:val="Hyperlink"/>
            <w:rFonts w:cs="Times New Roman"/>
          </w:rPr>
          <w:t>House Journal</w:t>
        </w:r>
        <w:r w:rsidRPr="00D74ACC">
          <w:rPr>
            <w:rStyle w:val="Hyperlink"/>
            <w:rFonts w:cs="Times New Roman"/>
          </w:rPr>
          <w:noBreakHyphen/>
          <w:t>page 114</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D74ACC">
        <w:rPr>
          <w:rFonts w:cs="Times New Roman"/>
        </w:rPr>
        <w:t>Read third time and enrolled (</w:t>
      </w:r>
      <w:hyperlink r:id="rId19" w:history="1">
        <w:r w:rsidRPr="00D74ACC">
          <w:rPr>
            <w:rStyle w:val="Hyperlink"/>
            <w:rFonts w:cs="Times New Roman"/>
          </w:rPr>
          <w:t>House Journal</w:t>
        </w:r>
        <w:r w:rsidRPr="00D74ACC">
          <w:rPr>
            <w:rStyle w:val="Hyperlink"/>
            <w:rFonts w:cs="Times New Roman"/>
          </w:rPr>
          <w:noBreakHyphen/>
          <w:t>page 37</w:t>
        </w:r>
      </w:hyperlink>
      <w:r w:rsidRPr="00D74ACC">
        <w:rPr>
          <w:rFonts w:cs="Times New Roman"/>
        </w:rPr>
        <w:t>)</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D74ACC">
        <w:rPr>
          <w:rFonts w:cs="Times New Roman"/>
        </w:rPr>
        <w:t>Ratified R 213</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D74ACC">
        <w:rPr>
          <w:rFonts w:cs="Times New Roman"/>
        </w:rPr>
        <w:t>Signed By Governor</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74ACC">
        <w:rPr>
          <w:rFonts w:cs="Times New Roman"/>
        </w:rPr>
        <w:t>Effective date 06/07/12</w:t>
      </w:r>
    </w:p>
    <w:p w:rsidR="000F3737" w:rsidRDefault="000F3737" w:rsidP="000F373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D74ACC">
        <w:rPr>
          <w:rFonts w:cs="Times New Roman"/>
        </w:rPr>
        <w:t>Act No</w:t>
      </w:r>
      <w:r>
        <w:rPr>
          <w:rFonts w:cs="Times New Roman"/>
        </w:rPr>
        <w:t>. </w:t>
      </w:r>
      <w:r w:rsidRPr="00D74ACC">
        <w:rPr>
          <w:rFonts w:cs="Times New Roman"/>
        </w:rPr>
        <w:t>204</w:t>
      </w:r>
    </w:p>
    <w:p w:rsidR="000F3737" w:rsidRDefault="000F3737" w:rsidP="000F3737">
      <w:pPr>
        <w:widowControl w:val="0"/>
        <w:tabs>
          <w:tab w:val="right" w:pos="1008"/>
          <w:tab w:val="left" w:pos="1152"/>
          <w:tab w:val="left" w:pos="1872"/>
          <w:tab w:val="left" w:pos="9187"/>
        </w:tabs>
        <w:ind w:left="2088" w:hanging="2088"/>
        <w:rPr>
          <w:rFonts w:cs="Times New Roman"/>
        </w:rPr>
      </w:pPr>
    </w:p>
    <w:p w:rsidR="00336CD1" w:rsidRPr="00336CD1" w:rsidRDefault="00336CD1" w:rsidP="00336CD1">
      <w:pPr>
        <w:widowControl w:val="0"/>
        <w:tabs>
          <w:tab w:val="right" w:pos="1008"/>
          <w:tab w:val="left" w:pos="1152"/>
          <w:tab w:val="left" w:pos="1872"/>
          <w:tab w:val="left" w:pos="9187"/>
        </w:tabs>
        <w:ind w:left="2088" w:hanging="2088"/>
        <w:rPr>
          <w:rFonts w:eastAsia="Times New Roman" w:cs="Times New Roman"/>
          <w:szCs w:val="20"/>
        </w:rPr>
      </w:pP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D1">
        <w:rPr>
          <w:rFonts w:eastAsia="Times New Roman" w:cs="Times New Roman"/>
          <w:b/>
          <w:szCs w:val="20"/>
        </w:rPr>
        <w:t>VERSIONS OF THIS BILL</w:t>
      </w:r>
    </w:p>
    <w:p w:rsidR="00336CD1" w:rsidRPr="00336CD1" w:rsidRDefault="00336CD1"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D1" w:rsidRPr="00336CD1" w:rsidRDefault="001D07E2" w:rsidP="0033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36CD1" w:rsidRPr="00336CD1">
          <w:rPr>
            <w:rFonts w:eastAsia="Times New Roman" w:cs="Times New Roman"/>
            <w:color w:val="0000FF" w:themeColor="hyperlink"/>
            <w:szCs w:val="20"/>
            <w:u w:val="single"/>
          </w:rPr>
          <w:t>1/25/2011</w:t>
        </w:r>
      </w:hyperlink>
    </w:p>
    <w:p w:rsidR="00336CD1" w:rsidRPr="00336CD1" w:rsidRDefault="001D07E2"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36CD1" w:rsidRPr="00336CD1">
          <w:rPr>
            <w:rFonts w:eastAsia="Times New Roman" w:cs="Times New Roman"/>
            <w:color w:val="0000FF" w:themeColor="hyperlink"/>
            <w:szCs w:val="20"/>
            <w:u w:val="single"/>
          </w:rPr>
          <w:t>1/28/2011</w:t>
        </w:r>
      </w:hyperlink>
    </w:p>
    <w:p w:rsidR="00336CD1" w:rsidRPr="00336CD1" w:rsidRDefault="001D07E2"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36CD1" w:rsidRPr="00336CD1">
          <w:rPr>
            <w:rFonts w:eastAsia="Times New Roman" w:cs="Times New Roman"/>
            <w:color w:val="0000FF" w:themeColor="hyperlink"/>
            <w:szCs w:val="20"/>
            <w:u w:val="single"/>
          </w:rPr>
          <w:t>4/25/2012</w:t>
        </w:r>
      </w:hyperlink>
    </w:p>
    <w:p w:rsidR="00336CD1" w:rsidRPr="00336CD1" w:rsidRDefault="001D07E2"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36CD1" w:rsidRPr="00336CD1">
          <w:rPr>
            <w:rFonts w:eastAsia="Times New Roman" w:cs="Times New Roman"/>
            <w:color w:val="0000FF" w:themeColor="hyperlink"/>
            <w:szCs w:val="20"/>
            <w:u w:val="single"/>
          </w:rPr>
          <w:t>4/26/2012</w:t>
        </w:r>
      </w:hyperlink>
    </w:p>
    <w:p w:rsidR="00336CD1" w:rsidRPr="00336CD1" w:rsidRDefault="001D07E2"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36CD1" w:rsidRPr="00336CD1">
          <w:rPr>
            <w:rFonts w:eastAsia="Times New Roman" w:cs="Times New Roman"/>
            <w:color w:val="0000FF" w:themeColor="hyperlink"/>
            <w:szCs w:val="20"/>
            <w:u w:val="single"/>
          </w:rPr>
          <w:t>/./.</w:t>
        </w:r>
      </w:hyperlink>
    </w:p>
    <w:p w:rsidR="00336CD1" w:rsidRPr="00336CD1" w:rsidRDefault="001D07E2"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36CD1" w:rsidRPr="00336CD1">
          <w:rPr>
            <w:rFonts w:eastAsia="Times New Roman" w:cs="Times New Roman"/>
            <w:color w:val="0000FF" w:themeColor="hyperlink"/>
            <w:szCs w:val="20"/>
            <w:u w:val="single"/>
          </w:rPr>
          <w:t>5/24/2012</w:t>
        </w:r>
      </w:hyperlink>
    </w:p>
    <w:p w:rsidR="00336CD1" w:rsidRPr="00336CD1" w:rsidRDefault="00336CD1"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6CD1" w:rsidRDefault="00336CD1" w:rsidP="0033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6CD1" w:rsidSect="00336CD1">
          <w:pgSz w:w="12240" w:h="15840" w:code="1"/>
          <w:pgMar w:top="1080" w:right="1440" w:bottom="1080" w:left="1440" w:header="720" w:footer="720" w:gutter="0"/>
          <w:pgNumType w:start="1"/>
          <w:cols w:space="720"/>
          <w:noEndnote/>
          <w:docGrid w:linePitch="360"/>
        </w:sectPr>
      </w:pPr>
    </w:p>
    <w:p w:rsidR="00434DDB"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(A204, R213, S429)</w:t>
      </w:r>
    </w:p>
    <w:p w:rsidR="00434DDB" w:rsidRPr="008836A5"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4DDB" w:rsidRPr="00336CD1"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6CD1">
        <w:rPr>
          <w:rFonts w:cs="Times New Roman"/>
          <w:b/>
          <w:color w:val="000000" w:themeColor="text1"/>
          <w:szCs w:val="36"/>
        </w:rPr>
        <w:t xml:space="preserve">AN ACT </w:t>
      </w:r>
      <w:r w:rsidRPr="00336CD1">
        <w:rPr>
          <w:rFonts w:cs="Times New Roman"/>
          <w:b/>
          <w:color w:val="000000" w:themeColor="text1"/>
          <w:u w:color="000000" w:themeColor="text1"/>
        </w:rPr>
        <w:t>TO AMEND SECTION 62</w:t>
      </w:r>
      <w:r w:rsidRPr="00336CD1">
        <w:rPr>
          <w:rFonts w:cs="Times New Roman"/>
          <w:b/>
          <w:color w:val="000000" w:themeColor="text1"/>
          <w:u w:color="000000" w:themeColor="text1"/>
        </w:rPr>
        <w:noBreakHyphen/>
        <w:t>7</w:t>
      </w:r>
      <w:r w:rsidRPr="00336CD1">
        <w:rPr>
          <w:rFonts w:cs="Times New Roman"/>
          <w:b/>
          <w:color w:val="000000" w:themeColor="text1"/>
          <w:u w:color="000000" w:themeColor="text1"/>
        </w:rPr>
        <w:noBreakHyphen/>
        <w:t>918, CODE OF LAWS OF SOUTH CAROLINA, 1976, RELATING TO THE UNIFORM PRINCIPAL AND INCOME ACT, SO AS TO PROVIDE FOR THE PROCESS TO DETERMINE THE ALLOCATION OF PAYMENT MADE FROM A SEPARATE FUND TO CERTAIN TRUSTS AND TO PROVIDE COMMENT</w:t>
      </w:r>
      <w:r>
        <w:rPr>
          <w:rFonts w:cs="Times New Roman"/>
          <w:b/>
          <w:color w:val="000000" w:themeColor="text1"/>
          <w:u w:color="000000" w:themeColor="text1"/>
        </w:rPr>
        <w:t>S</w:t>
      </w:r>
      <w:r w:rsidRPr="00336CD1">
        <w:rPr>
          <w:rFonts w:cs="Times New Roman"/>
          <w:b/>
          <w:color w:val="000000" w:themeColor="text1"/>
          <w:u w:color="000000" w:themeColor="text1"/>
        </w:rPr>
        <w:t>; AND TO AMEND SECTION 62</w:t>
      </w:r>
      <w:r w:rsidRPr="00336CD1">
        <w:rPr>
          <w:rFonts w:cs="Times New Roman"/>
          <w:b/>
          <w:color w:val="000000" w:themeColor="text1"/>
          <w:u w:color="000000" w:themeColor="text1"/>
        </w:rPr>
        <w:noBreakHyphen/>
        <w:t>7</w:t>
      </w:r>
      <w:r w:rsidRPr="00336CD1">
        <w:rPr>
          <w:rFonts w:cs="Times New Roman"/>
          <w:b/>
          <w:color w:val="000000" w:themeColor="text1"/>
          <w:u w:color="000000" w:themeColor="text1"/>
        </w:rPr>
        <w:noBreakHyphen/>
        <w:t>929, RELATING TO THE UNIFORM PRINCIPAL AND INCOME ACT, SO AS TO PROVIDE THE SOURCE OF FUNDS THAT MUST PAY FOR A TAX ON A TRUST’S SHARE OF THE TAXABLE INCOME OF THE ENTITY AND TO PROVIDE COMMENT</w:t>
      </w:r>
      <w:r>
        <w:rPr>
          <w:rFonts w:cs="Times New Roman"/>
          <w:b/>
          <w:color w:val="000000" w:themeColor="text1"/>
          <w:u w:color="000000" w:themeColor="text1"/>
        </w:rPr>
        <w:t>S</w:t>
      </w:r>
      <w:r w:rsidRPr="00336CD1">
        <w:rPr>
          <w:rFonts w:cs="Times New Roman"/>
          <w:b/>
          <w:color w:val="000000" w:themeColor="text1"/>
          <w:u w:color="000000" w:themeColor="text1"/>
        </w:rPr>
        <w: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Be it enacted by the General Assembly of the State of South Carolina:</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4DDB" w:rsidRPr="00313292"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Separate fund</w:t>
      </w:r>
    </w:p>
    <w:p w:rsidR="00434DDB"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SECTION</w:t>
      </w:r>
      <w:r w:rsidRPr="00365C57">
        <w:rPr>
          <w:rFonts w:cs="Times New Roman"/>
          <w:color w:val="000000" w:themeColor="text1"/>
          <w:u w:color="000000" w:themeColor="text1"/>
        </w:rPr>
        <w:tab/>
        <w:t>1.</w:t>
      </w:r>
      <w:r w:rsidRPr="00365C57">
        <w:rPr>
          <w:rFonts w:cs="Times New Roman"/>
          <w:color w:val="000000" w:themeColor="text1"/>
          <w:u w:color="000000" w:themeColor="text1"/>
        </w:rPr>
        <w:tab/>
        <w:t>A.</w:t>
      </w:r>
      <w:r w:rsidRPr="00365C57">
        <w:rPr>
          <w:rFonts w:cs="Times New Roman"/>
          <w:color w:val="000000" w:themeColor="text1"/>
          <w:u w:color="000000" w:themeColor="text1"/>
        </w:rPr>
        <w:tab/>
      </w:r>
      <w:r w:rsidRPr="00365C57">
        <w:rPr>
          <w:rFonts w:cs="Times New Roman"/>
          <w:color w:val="000000" w:themeColor="text1"/>
          <w:u w:color="000000" w:themeColor="text1"/>
        </w:rPr>
        <w:tab/>
        <w:t>Section 62</w:t>
      </w:r>
      <w:r w:rsidRPr="00365C57">
        <w:rPr>
          <w:rFonts w:cs="Times New Roman"/>
          <w:color w:val="000000" w:themeColor="text1"/>
          <w:u w:color="000000" w:themeColor="text1"/>
        </w:rPr>
        <w:noBreakHyphen/>
        <w:t>7</w:t>
      </w:r>
      <w:r w:rsidRPr="00365C57">
        <w:rPr>
          <w:rFonts w:cs="Times New Roman"/>
          <w:color w:val="000000" w:themeColor="text1"/>
          <w:u w:color="000000" w:themeColor="text1"/>
        </w:rPr>
        <w:noBreakHyphen/>
        <w:t>918 of the 1976 Code is amended to read: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“Section 62</w:t>
      </w:r>
      <w:r w:rsidRPr="00365C57">
        <w:rPr>
          <w:rFonts w:cs="Times New Roman"/>
          <w:color w:val="000000" w:themeColor="text1"/>
          <w:u w:color="000000" w:themeColor="text1"/>
        </w:rPr>
        <w:noBreakHyphen/>
        <w:t>7</w:t>
      </w:r>
      <w:r w:rsidRPr="00365C57">
        <w:rPr>
          <w:rFonts w:cs="Times New Roman"/>
          <w:color w:val="000000" w:themeColor="text1"/>
          <w:u w:color="000000" w:themeColor="text1"/>
        </w:rPr>
        <w:noBreakHyphen/>
        <w:t>918.</w:t>
      </w:r>
      <w:r w:rsidRPr="00365C57">
        <w:rPr>
          <w:rFonts w:cs="Times New Roman"/>
          <w:color w:val="000000" w:themeColor="text1"/>
          <w:u w:color="000000" w:themeColor="text1"/>
        </w:rPr>
        <w:tab/>
        <w:t>(A)</w:t>
      </w:r>
      <w:r w:rsidRPr="00365C57">
        <w:rPr>
          <w:rFonts w:cs="Times New Roman"/>
          <w:color w:val="000000" w:themeColor="text1"/>
          <w:u w:color="000000" w:themeColor="text1"/>
        </w:rPr>
        <w:tab/>
        <w:t>In this section:</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(1)</w:t>
      </w:r>
      <w:r w:rsidRPr="00365C57">
        <w:rPr>
          <w:rFonts w:cs="Times New Roman"/>
          <w:color w:val="000000" w:themeColor="text1"/>
          <w:u w:color="000000" w:themeColor="text1"/>
        </w:rPr>
        <w:tab/>
        <w:t>‘Payment’ means a payment that a trustee may receive over a fixed number of years or during the life of one or more individuals because of services rendered or property transferred to the payer in exchange for future payments.  The term includes a payment made in money or property from the payer’s general assets or from a separate fund created by the payer.  For purposes of subsections (D), (E), (F), and (G), the term also includes a payment from a separate fund, regardless of the reason for the payment.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(2)</w:t>
      </w:r>
      <w:r w:rsidRPr="00365C57">
        <w:rPr>
          <w:rFonts w:cs="Times New Roman"/>
          <w:color w:val="000000" w:themeColor="text1"/>
          <w:u w:color="000000" w:themeColor="text1"/>
        </w:rPr>
        <w:tab/>
        <w:t>‘Separate fund’ includes a private or commercial annuity, an individual retirement account, and a pension, profit</w:t>
      </w:r>
      <w:r w:rsidRPr="00365C57">
        <w:rPr>
          <w:rFonts w:cs="Times New Roman"/>
          <w:color w:val="000000" w:themeColor="text1"/>
          <w:u w:color="000000" w:themeColor="text1"/>
        </w:rPr>
        <w:noBreakHyphen/>
        <w:t>sharing, stock</w:t>
      </w:r>
      <w:r w:rsidRPr="00365C57">
        <w:rPr>
          <w:rFonts w:cs="Times New Roman"/>
          <w:color w:val="000000" w:themeColor="text1"/>
          <w:u w:color="000000" w:themeColor="text1"/>
        </w:rPr>
        <w:noBreakHyphen/>
        <w:t>bonus, or stock</w:t>
      </w:r>
      <w:r w:rsidRPr="00365C57">
        <w:rPr>
          <w:rFonts w:cs="Times New Roman"/>
          <w:color w:val="000000" w:themeColor="text1"/>
          <w:u w:color="000000" w:themeColor="text1"/>
        </w:rPr>
        <w:noBreakHyphen/>
        <w:t xml:space="preserve">ownership plan.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(B)</w:t>
      </w:r>
      <w:r w:rsidRPr="00365C57">
        <w:rPr>
          <w:rFonts w:cs="Times New Roman"/>
          <w:color w:val="000000" w:themeColor="text1"/>
          <w:u w:color="000000" w:themeColor="text1"/>
        </w:rPr>
        <w:tab/>
        <w:t xml:space="preserve">To the extent that a payment is characterized as interest, a dividend, or a payment made instead of interest or a dividend, a trustee shall allocate the payment to income.  The trustee shall allocate to principal the balance of the payment and any other payment received in the same accounting period that is not characterized as interest, a dividend, or an equivalent payment.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(C)</w:t>
      </w:r>
      <w:r w:rsidRPr="00365C57">
        <w:rPr>
          <w:rFonts w:cs="Times New Roman"/>
          <w:color w:val="000000" w:themeColor="text1"/>
          <w:u w:color="000000" w:themeColor="text1"/>
        </w:rPr>
        <w:tab/>
        <w:t xml:space="preserve">If part of a payment is not characterized as interest, a dividend, or an equivalent payment, and all or part of the payment is required to be made, a trustee shall allocate to income ten percent of the part that is required to be made during the accounting period and the balance to principal.  If a part of a payment is not required to be made or the payment received is the entire amount to which the trustee is entitled, the trustee shall allocate the entire payment to principal.  For purposes of this subsection, a payment is not </w:t>
      </w:r>
      <w:r>
        <w:rPr>
          <w:rFonts w:cs="Times New Roman"/>
          <w:color w:val="000000" w:themeColor="text1"/>
          <w:u w:color="000000" w:themeColor="text1"/>
        </w:rPr>
        <w:t>‘</w:t>
      </w:r>
      <w:r w:rsidRPr="00365C57">
        <w:rPr>
          <w:rFonts w:cs="Times New Roman"/>
          <w:color w:val="000000" w:themeColor="text1"/>
          <w:u w:color="000000" w:themeColor="text1"/>
        </w:rPr>
        <w:t>required to be made</w:t>
      </w:r>
      <w:r>
        <w:rPr>
          <w:rFonts w:cs="Times New Roman"/>
          <w:color w:val="000000" w:themeColor="text1"/>
          <w:u w:color="000000" w:themeColor="text1"/>
        </w:rPr>
        <w:t>’</w:t>
      </w:r>
      <w:r w:rsidRPr="00365C57">
        <w:rPr>
          <w:rFonts w:cs="Times New Roman"/>
          <w:color w:val="000000" w:themeColor="text1"/>
          <w:u w:color="000000" w:themeColor="text1"/>
        </w:rPr>
        <w:t xml:space="preserve"> to the extent that it is made because the trustee exercises a right of withdrawal.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(D)</w:t>
      </w:r>
      <w:r w:rsidRPr="00365C57">
        <w:rPr>
          <w:rFonts w:cs="Times New Roman"/>
          <w:color w:val="000000" w:themeColor="text1"/>
          <w:u w:color="000000" w:themeColor="text1"/>
        </w:rPr>
        <w:tab/>
        <w:t xml:space="preserve"> Except as otherwise provided in subsection (E), subsections (F) and (G) apply, and subsections (B) and (C) do not apply, in determining the allocation of a payment made from a separate fund to:</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(1)</w:t>
      </w:r>
      <w:r w:rsidRPr="00365C57">
        <w:rPr>
          <w:rFonts w:cs="Times New Roman"/>
          <w:color w:val="000000" w:themeColor="text1"/>
          <w:u w:color="000000" w:themeColor="text1"/>
        </w:rPr>
        <w:tab/>
        <w:t xml:space="preserve">a trust to which an election to qualify for a marital deduction under Section 2056(b)(7) of the Internal Revenue Code of 1986, as amended, has been made; or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(2)</w:t>
      </w:r>
      <w:r w:rsidRPr="00365C57">
        <w:rPr>
          <w:rFonts w:cs="Times New Roman"/>
          <w:color w:val="000000" w:themeColor="text1"/>
        </w:rPr>
        <w:tab/>
      </w:r>
      <w:r w:rsidRPr="00365C57">
        <w:rPr>
          <w:rFonts w:cs="Times New Roman"/>
          <w:color w:val="000000" w:themeColor="text1"/>
          <w:u w:color="000000" w:themeColor="text1"/>
        </w:rPr>
        <w:t>a trust that qualifies for the marital deduction under Section 2056(b)(5) of the Internal Revenue Code of 1986, as amended.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(E)</w:t>
      </w:r>
      <w:r w:rsidRPr="00365C57">
        <w:rPr>
          <w:rFonts w:cs="Times New Roman"/>
          <w:color w:val="000000" w:themeColor="text1"/>
          <w:u w:color="000000" w:themeColor="text1"/>
        </w:rPr>
        <w:tab/>
        <w:t>Subsections (D), (F), and (G) do not apply if and to the extent that the series of payments would, without the application of subsection (D), qualify for the marital deduction under Section 2056(b)(7)(C) of the Internal Revenue Code of 1986, as amended.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(F)</w:t>
      </w:r>
      <w:r w:rsidRPr="00365C57">
        <w:rPr>
          <w:rFonts w:cs="Times New Roman"/>
          <w:color w:val="000000" w:themeColor="text1"/>
          <w:u w:color="000000" w:themeColor="text1"/>
        </w:rPr>
        <w:tab/>
        <w:t>A trustee shall determine the internal income of each separate fund for the accounting period as if the separate fund were a trust subject to this act.  Upon request of the surviving spouse, the trustee shall demand that the person administering the separate fund distribute the internal income to the trust.  The trustee shall allocate a payment from the separate fund to income to the extent of the internal income of the separate fund and distribute that amount to the surviving spouse.  The trustee shall allocate the balance of the payment to principal.  Upon request of the surviving spouse, the trustee shall allocate principal to income to the extent the internal income of the separate fund exceeds payments made from the separate fund to the trust during the accounting period.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(G)</w:t>
      </w:r>
      <w:r w:rsidRPr="00365C57">
        <w:rPr>
          <w:rFonts w:cs="Times New Roman"/>
          <w:color w:val="000000" w:themeColor="text1"/>
          <w:u w:color="000000" w:themeColor="text1"/>
        </w:rPr>
        <w:tab/>
        <w:t>If a trustee cannot determine the internal income of a separate fund but can determine the value of the separate fund, the internal income of the separate fund is deemed to equal four percent of the fund’s value, according to the most recent statement of value preceding the beginning of the accounting period.  If the trustee can determine neither the internal income of the separate fund nor the fund’s value, the internal income of the fund is deemed to equal the product of the interest rate and the present value of the expected future payments, as determined under Section 7520 of the Internal Revenue Code of 1986, as amended, for the month preceding the accounting period for which the computation is made.</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(H)</w:t>
      </w:r>
      <w:r w:rsidRPr="00365C57">
        <w:rPr>
          <w:rFonts w:cs="Times New Roman"/>
          <w:color w:val="000000" w:themeColor="text1"/>
          <w:u w:color="000000" w:themeColor="text1"/>
        </w:rPr>
        <w:tab/>
        <w:t>This section does not apply to payments subject to Section 62</w:t>
      </w:r>
      <w:r w:rsidRPr="00365C57">
        <w:rPr>
          <w:rFonts w:cs="Times New Roman"/>
          <w:color w:val="000000" w:themeColor="text1"/>
          <w:u w:color="000000" w:themeColor="text1"/>
        </w:rPr>
        <w:noBreakHyphen/>
        <w:t>7</w:t>
      </w:r>
      <w:r w:rsidRPr="00365C57">
        <w:rPr>
          <w:rFonts w:cs="Times New Roman"/>
          <w:color w:val="000000" w:themeColor="text1"/>
          <w:u w:color="000000" w:themeColor="text1"/>
        </w:rPr>
        <w:noBreakHyphen/>
        <w:t>919.”</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365C57">
        <w:rPr>
          <w:rFonts w:cs="Times New Roman"/>
          <w:color w:val="000000" w:themeColor="text1"/>
        </w:rPr>
        <w:t>REPORTER’S COMMENTS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Scope.</w:t>
      </w:r>
      <w:r w:rsidRPr="00365C57">
        <w:rPr>
          <w:rFonts w:cs="Times New Roman"/>
        </w:rPr>
        <w:tab/>
      </w:r>
      <w:r w:rsidRPr="00365C57">
        <w:rPr>
          <w:rFonts w:cs="Times New Roman"/>
        </w:rPr>
        <w:tab/>
        <w:t>Section 62</w:t>
      </w:r>
      <w:r w:rsidRPr="00365C57">
        <w:rPr>
          <w:rFonts w:cs="Times New Roman"/>
        </w:rPr>
        <w:noBreakHyphen/>
        <w:t>7</w:t>
      </w:r>
      <w:r w:rsidRPr="00365C57">
        <w:rPr>
          <w:rFonts w:cs="Times New Roman"/>
        </w:rPr>
        <w:noBreakHyphen/>
        <w:t>918 applies to amounts received under contractual arrangements that provide for payments to a third party beneficiary as a result of services rendered or property transferred to the payer.  While the right to receive such payments is a liquidating asset of the kind described in Section 62</w:t>
      </w:r>
      <w:r w:rsidRPr="00365C57">
        <w:rPr>
          <w:rFonts w:cs="Times New Roman"/>
        </w:rPr>
        <w:noBreakHyphen/>
        <w:t>7</w:t>
      </w:r>
      <w:r w:rsidRPr="00365C57">
        <w:rPr>
          <w:rFonts w:cs="Times New Roman"/>
        </w:rPr>
        <w:noBreakHyphen/>
        <w:t>919 i.e., “an asset whose value will diminish or terminate because the asset is expected to produce receipts for a period of limited duration,” these payment rights are covered separately in Section 62</w:t>
      </w:r>
      <w:r w:rsidRPr="00365C57">
        <w:rPr>
          <w:rFonts w:cs="Times New Roman"/>
        </w:rPr>
        <w:noBreakHyphen/>
        <w:t>7</w:t>
      </w:r>
      <w:r w:rsidRPr="00365C57">
        <w:rPr>
          <w:rFonts w:cs="Times New Roman"/>
        </w:rPr>
        <w:noBreakHyphen/>
        <w:t>918 because of their special characteristics.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Section 62</w:t>
      </w:r>
      <w:r w:rsidRPr="00365C57">
        <w:rPr>
          <w:rFonts w:cs="Times New Roman"/>
        </w:rPr>
        <w:noBreakHyphen/>
        <w:t>7</w:t>
      </w:r>
      <w:r w:rsidRPr="00365C57">
        <w:rPr>
          <w:rFonts w:cs="Times New Roman"/>
        </w:rPr>
        <w:noBreakHyphen/>
        <w:t>918 applies to receipts from all forms of annuities and deferred compensation arrangements, whether the payment will be received by the trust in a lump sum or in installments over a period of years.  It applies to bonuses that may be received over two or three years and payments that may last for much longer periods, including payments from an individual retirement account (IRA), deferred compensation plan (whether qualified or not qualified for special federal income tax treatment), and insurance renewal commissions.  It applies to a retirement plan to which the settlor has made contributions, just as it applies to an annuity policy that the settlor may have purchased individually, and it applies to variable annuities, deferred annuities, annuities issued by commercial insurance companies, and “private annuities” arising from the sale of property to another individual or entity in exchange for payments that are to be made for the life of one or more individuals.  The section applies whether the payments begin when the payment right becomes subject to the trust or are deferred until a future date, and it applies whether payments are made in cash or in kind, such as employer stock (in</w:t>
      </w:r>
      <w:r w:rsidRPr="00365C57">
        <w:rPr>
          <w:rFonts w:cs="Times New Roman"/>
        </w:rPr>
        <w:noBreakHyphen/>
        <w:t>kind payments usually will be made in a single distribution that will be allocated to principal under the second sentence of subsection (C).</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Prior Acts.</w:t>
      </w:r>
      <w:r w:rsidRPr="00365C57">
        <w:rPr>
          <w:rFonts w:cs="Times New Roman"/>
        </w:rPr>
        <w:tab/>
        <w:t>Under Section 12 of the 1962 Act and Section 62</w:t>
      </w:r>
      <w:r w:rsidRPr="00365C57">
        <w:rPr>
          <w:rFonts w:cs="Times New Roman"/>
        </w:rPr>
        <w:noBreakHyphen/>
        <w:t>7</w:t>
      </w:r>
      <w:r w:rsidRPr="00365C57">
        <w:rPr>
          <w:rFonts w:cs="Times New Roman"/>
        </w:rPr>
        <w:noBreakHyphen/>
        <w:t>414 of the 1963 SC Act, receipts from “rights to receive payments on a contract for deferred compensation” are allocated to income each year in an amount “not in excess of 5% per year” of the property’s inventory value.  While “not in excess of 5%” suggests that the annual allocation may range from zero to five percent of the inventory value, in practice the rule is usually treated as prescribing a five percent allocation.  The inventory value is usually the present value of all the future payments, and since the inventory value is determined as of the date on which the payment right becomes subject to the trust, the inventory value, and thus the amount of the annual income allocation, depends significantly on the applicable interest rate on the decedent’s date of death.  That rate may be much higher or lower than the average long</w:t>
      </w:r>
      <w:r w:rsidRPr="00365C57">
        <w:rPr>
          <w:rFonts w:cs="Times New Roman"/>
        </w:rPr>
        <w:noBreakHyphen/>
        <w:t>term interest rate.  The amount determined under the five percent formula tends to become fixed and remain unchanged even though the amount received by the trust increases or decreases.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Allocations Under Section 62</w:t>
      </w:r>
      <w:r w:rsidRPr="00365C57">
        <w:rPr>
          <w:rFonts w:cs="Times New Roman"/>
        </w:rPr>
        <w:noBreakHyphen/>
        <w:t>7</w:t>
      </w:r>
      <w:r w:rsidRPr="00365C57">
        <w:rPr>
          <w:rFonts w:cs="Times New Roman"/>
        </w:rPr>
        <w:noBreakHyphen/>
        <w:t>918(B). Section 62</w:t>
      </w:r>
      <w:r w:rsidRPr="00365C57">
        <w:rPr>
          <w:rFonts w:cs="Times New Roman"/>
        </w:rPr>
        <w:noBreakHyphen/>
        <w:t>7</w:t>
      </w:r>
      <w:r w:rsidRPr="00365C57">
        <w:rPr>
          <w:rFonts w:cs="Times New Roman"/>
        </w:rPr>
        <w:noBreakHyphen/>
        <w:t>918(B) applies to plans whose terms characterize payments made under the plan as dividends, interest, or payments in lieu of dividends or interest.  For example, some deferred compensation plans that hold debt obligations or stock of the plan’s sponsor in an account for future delivery to the person rendering the services provide for the annual payment to that person of dividends received on the stock or interest received on the debt obligations.  Other plans provide that the account of the person rendering the services shall be credited with “phantom” shares of stock and require an annual payment that is equivalent to the dividends that would be received on that number of shares if they were actually issued; or a plan may entitle the person rendering the services to receive a fixed dollar amount in the future and provide for the annual payment of interest on the deferred amount during the period prior to its payment.  Under Section 62</w:t>
      </w:r>
      <w:r w:rsidRPr="00365C57">
        <w:rPr>
          <w:rFonts w:cs="Times New Roman"/>
        </w:rPr>
        <w:noBreakHyphen/>
        <w:t>7</w:t>
      </w:r>
      <w:r w:rsidRPr="00365C57">
        <w:rPr>
          <w:rFonts w:cs="Times New Roman"/>
        </w:rPr>
        <w:noBreakHyphen/>
        <w:t>918(B) payments of dividends, interest or payments in lieu of dividends or interest under plans of this type are allocated to income; all other payments received under these plans are allocated to principal.</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Section 62</w:t>
      </w:r>
      <w:r w:rsidRPr="00365C57">
        <w:rPr>
          <w:rFonts w:cs="Times New Roman"/>
        </w:rPr>
        <w:noBreakHyphen/>
        <w:t>7</w:t>
      </w:r>
      <w:r w:rsidRPr="00365C57">
        <w:rPr>
          <w:rFonts w:cs="Times New Roman"/>
        </w:rPr>
        <w:noBreakHyphen/>
        <w:t>918(B) does not apply to an IRA or an arrangement with payment provisions similar to an IRA.  IRAs and similar arrangements are subject to the provisions in Section 62</w:t>
      </w:r>
      <w:r w:rsidRPr="00365C57">
        <w:rPr>
          <w:rFonts w:cs="Times New Roman"/>
        </w:rPr>
        <w:noBreakHyphen/>
        <w:t>7</w:t>
      </w:r>
      <w:r w:rsidRPr="00365C57">
        <w:rPr>
          <w:rFonts w:cs="Times New Roman"/>
        </w:rPr>
        <w:noBreakHyphen/>
        <w:t xml:space="preserve">918(C).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Allocations Under Section 62</w:t>
      </w:r>
      <w:r w:rsidRPr="00365C57">
        <w:rPr>
          <w:rFonts w:cs="Times New Roman"/>
        </w:rPr>
        <w:noBreakHyphen/>
        <w:t>7</w:t>
      </w:r>
      <w:r w:rsidRPr="00365C57">
        <w:rPr>
          <w:rFonts w:cs="Times New Roman"/>
        </w:rPr>
        <w:noBreakHyphen/>
        <w:t>918(C).  The focus of Section 62</w:t>
      </w:r>
      <w:r w:rsidRPr="00365C57">
        <w:rPr>
          <w:rFonts w:cs="Times New Roman"/>
        </w:rPr>
        <w:noBreakHyphen/>
        <w:t>7</w:t>
      </w:r>
      <w:r w:rsidRPr="00365C57">
        <w:rPr>
          <w:rFonts w:cs="Times New Roman"/>
        </w:rPr>
        <w:noBreakHyphen/>
        <w:t>918, for purposes of allocating payments received by a trust to or between principal and income, is on the payment right rather than on assets that may be held in a fund from which the payments are made.  Thus, if an IRA holds a portfolio of marketable stocks and bonds, the amount received by the IRA as dividends and interest is not taken into account in determining the principal and income allocation except to the extent that the Internal Revenue Service may require them to be taken into account when the payment is received by a trust that qualifies for the estate tax marital deduction (a situation that is provided for in Section 62</w:t>
      </w:r>
      <w:r w:rsidRPr="00365C57">
        <w:rPr>
          <w:rFonts w:cs="Times New Roman"/>
        </w:rPr>
        <w:noBreakHyphen/>
        <w:t>7</w:t>
      </w:r>
      <w:r w:rsidRPr="00365C57">
        <w:rPr>
          <w:rFonts w:cs="Times New Roman"/>
        </w:rPr>
        <w:noBreakHyphen/>
        <w:t>918(D)).  An IRA is subject to federal income tax rules that require payments to begin by a particular date and be made over a specific number of years or a period measured by the lives of one or more persons.  The payment right of a trust that is named as a beneficiary of an IRA is not a right to receive particular items that are paid to the IRA, but is instead the right to receive an amount determined by dividing the value of the IRA by the remaining number of years in the payment period.  This payment right is similar to the right to receive a unitrust amount, which is normally expressed as an amount equal to a percentage of the value of the unitrust assets without regard to dividends or interest that may be received by the unitrust.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An amount received from an IRA or a plan with a payment provision similar to that of an IRA is allocated under Section 62</w:t>
      </w:r>
      <w:r w:rsidRPr="00365C57">
        <w:rPr>
          <w:rFonts w:cs="Times New Roman"/>
        </w:rPr>
        <w:noBreakHyphen/>
        <w:t>7</w:t>
      </w:r>
      <w:r w:rsidRPr="00365C57">
        <w:rPr>
          <w:rFonts w:cs="Times New Roman"/>
        </w:rPr>
        <w:noBreakHyphen/>
        <w:t>918(C) which differentiates between payments that are required to be made and all other payments.  To the extent that a payment is required to be made (either under federal income tax rules or, in the case of a plan that is not subject to those rules, under the terms of the plan), ten percent of the amount received is allocated to income and the balance is allocated to principal.  All other payments are allocated to principal because they represent a change in the form of a principal asset; Section 62</w:t>
      </w:r>
      <w:r w:rsidRPr="00365C57">
        <w:rPr>
          <w:rFonts w:cs="Times New Roman"/>
        </w:rPr>
        <w:noBreakHyphen/>
        <w:t>7</w:t>
      </w:r>
      <w:r w:rsidRPr="00365C57">
        <w:rPr>
          <w:rFonts w:cs="Times New Roman"/>
        </w:rPr>
        <w:noBreakHyphen/>
        <w:t>918 follows the rule in Section 62</w:t>
      </w:r>
      <w:r w:rsidRPr="00365C57">
        <w:rPr>
          <w:rFonts w:cs="Times New Roman"/>
        </w:rPr>
        <w:noBreakHyphen/>
        <w:t>7</w:t>
      </w:r>
      <w:r w:rsidRPr="00365C57">
        <w:rPr>
          <w:rFonts w:cs="Times New Roman"/>
        </w:rPr>
        <w:noBreakHyphen/>
        <w:t>913(2) which provides that money or property received from a change in the form of a principal asset be allocated to principal.</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rPr>
        <w:tab/>
        <w:t>Section 62</w:t>
      </w:r>
      <w:r w:rsidRPr="00365C57">
        <w:rPr>
          <w:rFonts w:cs="Times New Roman"/>
        </w:rPr>
        <w:noBreakHyphen/>
        <w:t>7</w:t>
      </w:r>
      <w:r w:rsidRPr="00365C57">
        <w:rPr>
          <w:rFonts w:cs="Times New Roman"/>
        </w:rPr>
        <w:noBreakHyphen/>
        <w:t>918(C) produces an allocation to income that is similar to the allocation under the 1962 Act formula and the 1963 SC Act formula if the annual payments are the same throughout the payment period, and it is simpler to administer.  The amount allocated to income under Section 62</w:t>
      </w:r>
      <w:r w:rsidRPr="00365C57">
        <w:rPr>
          <w:rFonts w:cs="Times New Roman"/>
        </w:rPr>
        <w:noBreakHyphen/>
        <w:t>7</w:t>
      </w:r>
      <w:r w:rsidRPr="00365C57">
        <w:rPr>
          <w:rFonts w:cs="Times New Roman"/>
        </w:rPr>
        <w:noBreakHyphen/>
        <w:t>918 is not dependent upon the interest rate that is used for valuation purposes when the decedent dies, and if the payments received by the trust increase or decrease from year to year because the fund from which the payment is made increases or decreases in value, the amount allocated to income will also increase or decrease.</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 xml:space="preserve">Marital </w:t>
      </w:r>
      <w:r>
        <w:rPr>
          <w:rFonts w:cs="Times New Roman"/>
          <w:color w:val="000000"/>
        </w:rPr>
        <w:t>D</w:t>
      </w:r>
      <w:r w:rsidRPr="00365C57">
        <w:rPr>
          <w:rFonts w:cs="Times New Roman"/>
          <w:color w:val="000000"/>
        </w:rPr>
        <w:t xml:space="preserve">eduction </w:t>
      </w:r>
      <w:r>
        <w:rPr>
          <w:rFonts w:cs="Times New Roman"/>
          <w:color w:val="000000"/>
        </w:rPr>
        <w:t>R</w:t>
      </w:r>
      <w:r w:rsidRPr="00365C57">
        <w:rPr>
          <w:rFonts w:cs="Times New Roman"/>
          <w:color w:val="000000"/>
        </w:rPr>
        <w:t>equirements.  When an IRA or other retirement arrangement (a “plan”) is payable to a marital deduction trust, the IRS treats the plan as a separate property interest that itself must qualify for the marital deduction.  IRS Revenue Ruling 2006</w:t>
      </w:r>
      <w:r w:rsidRPr="00365C57">
        <w:rPr>
          <w:rFonts w:cs="Times New Roman"/>
          <w:color w:val="000000"/>
        </w:rPr>
        <w:noBreakHyphen/>
        <w:t>26 said that, as written, the prior uniform act version of Section 62</w:t>
      </w:r>
      <w:r w:rsidRPr="00365C57">
        <w:rPr>
          <w:rFonts w:cs="Times New Roman"/>
          <w:color w:val="000000"/>
        </w:rPr>
        <w:noBreakHyphen/>
        <w:t>7</w:t>
      </w:r>
      <w:r w:rsidRPr="00365C57">
        <w:rPr>
          <w:rFonts w:cs="Times New Roman"/>
          <w:color w:val="000000"/>
        </w:rPr>
        <w:noBreakHyphen/>
        <w:t>918 does not cause a trust to qualify for the IRS’ safe harbors.  Revenue Ruling 2006</w:t>
      </w:r>
      <w:r w:rsidRPr="00365C57">
        <w:rPr>
          <w:rFonts w:cs="Times New Roman"/>
          <w:color w:val="000000"/>
        </w:rPr>
        <w:noBreakHyphen/>
        <w:t>26 was limited in scope to certain situations involving IRAs and defined contribution retirement plans.  Without necessarily agreeing with the IRS’ position in that ruling, the revision to this section is designed to satisfy the IRS’ safe harbor and to address concerns that might be raised for similar assets.  No IRS pronouncements have addressed the scope of Code § 2056(b)(7)(C).</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Subsection (F) requires the trustee to demand certain distributions if the surviving spouse so requests.  The safe harbor of Revenue Ruling 2006</w:t>
      </w:r>
      <w:r w:rsidRPr="00365C57">
        <w:rPr>
          <w:rFonts w:cs="Times New Roman"/>
          <w:color w:val="000000"/>
        </w:rPr>
        <w:noBreakHyphen/>
        <w:t>26 requires that the surviving spouse be separately entitled to demand the fund’s income (without regard to the income from the trust’s other assets) and the income from the other assets (without regard to the fund’s income).  In any event, the surviving spouse is not required to demand that the trustee distribute all of the fund’s income from the fund or from other trust assets.  Treas. Reg. § 20.2056(b)</w:t>
      </w:r>
      <w:r w:rsidRPr="00365C57">
        <w:rPr>
          <w:rFonts w:cs="Times New Roman"/>
          <w:color w:val="000000"/>
        </w:rPr>
        <w:noBreakHyphen/>
        <w:t>5(f)(8).</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Subsection (F) also recognizes that the trustee might not control the payments that the trustee receives and provides a remedy to the surviving spouse if the distributions under subsection (d)(1) are insufficient.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Subsection (G) addresses situations where, due to lack of information provided by the fund’s administrator, the trustee is unable to determine the fund’s actual income.  The bracketed language is the range approved for unitrust payments by Treas. Reg. § 1.643(b)</w:t>
      </w:r>
      <w:r w:rsidRPr="00365C57">
        <w:rPr>
          <w:rFonts w:cs="Times New Roman"/>
          <w:color w:val="000000"/>
        </w:rPr>
        <w:noBreakHyphen/>
        <w:t>1.  In determining the value for purposes of applying the unitrust percentage, the trustee would seek to obtain the value of the assets as of the most recent statement of value immediately preceding the beginning of the year.  For example, suppose a trust’s accounting period is January 1 through December 31.  If a retirement plan administrator furnishes information annually each September 30 and declines to provide information as of December 31, then the trustee may rely on the September 30 value to determine the distribution for the following year.  For funds whose values are not readily available, subsection (G) relies on Code Section 7520 valuation methods because many funds described in Section 62</w:t>
      </w:r>
      <w:r w:rsidRPr="00365C57">
        <w:rPr>
          <w:rFonts w:cs="Times New Roman"/>
          <w:color w:val="000000"/>
        </w:rPr>
        <w:noBreakHyphen/>
        <w:t>7</w:t>
      </w:r>
      <w:r w:rsidRPr="00365C57">
        <w:rPr>
          <w:rFonts w:cs="Times New Roman"/>
          <w:color w:val="000000"/>
        </w:rPr>
        <w:noBreakHyphen/>
        <w:t>918 are annuities, and one consistent set of valuation principles should apply whether or not the fund is, in fact, an annuity.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r w:rsidRPr="00365C57">
        <w:rPr>
          <w:rFonts w:cs="Times New Roman"/>
          <w:bCs/>
          <w:kern w:val="2"/>
        </w:rPr>
        <w:tab/>
        <w:t>Application of Section 62</w:t>
      </w:r>
      <w:r w:rsidRPr="00365C57">
        <w:rPr>
          <w:rFonts w:cs="Times New Roman"/>
          <w:bCs/>
          <w:kern w:val="2"/>
        </w:rPr>
        <w:noBreakHyphen/>
        <w:t>7</w:t>
      </w:r>
      <w:r w:rsidRPr="00365C57">
        <w:rPr>
          <w:rFonts w:cs="Times New Roman"/>
          <w:bCs/>
          <w:kern w:val="2"/>
        </w:rPr>
        <w:noBreakHyphen/>
        <w:t>904.</w:t>
      </w:r>
      <w:r w:rsidRPr="00365C57">
        <w:rPr>
          <w:rFonts w:cs="Times New Roman"/>
          <w:kern w:val="2"/>
        </w:rPr>
        <w:tab/>
        <w:t>Section 62</w:t>
      </w:r>
      <w:r w:rsidRPr="00365C57">
        <w:rPr>
          <w:rFonts w:cs="Times New Roman"/>
          <w:kern w:val="2"/>
        </w:rPr>
        <w:noBreakHyphen/>
        <w:t>7</w:t>
      </w:r>
      <w:r w:rsidRPr="00365C57">
        <w:rPr>
          <w:rFonts w:cs="Times New Roman"/>
          <w:kern w:val="2"/>
        </w:rPr>
        <w:noBreakHyphen/>
        <w:t xml:space="preserve">904(A) of this act gives a trustee who is acting under the prudent investor rule the power to adjust from principal to income if, considering the portfolio as a whole and not just receipts from deferred compensation, the trustee determines that an adjustment is necessary.  See Example (5) in the </w:t>
      </w:r>
      <w:r>
        <w:rPr>
          <w:rFonts w:cs="Times New Roman"/>
          <w:kern w:val="2"/>
        </w:rPr>
        <w:t>c</w:t>
      </w:r>
      <w:r w:rsidRPr="00365C57">
        <w:rPr>
          <w:rFonts w:cs="Times New Roman"/>
          <w:kern w:val="2"/>
        </w:rPr>
        <w:t>omment following Section 62</w:t>
      </w:r>
      <w:r w:rsidRPr="00365C57">
        <w:rPr>
          <w:rFonts w:cs="Times New Roman"/>
          <w:kern w:val="2"/>
        </w:rPr>
        <w:noBreakHyphen/>
        <w:t>7</w:t>
      </w:r>
      <w:r w:rsidRPr="00365C57">
        <w:rPr>
          <w:rFonts w:cs="Times New Roman"/>
          <w:kern w:val="2"/>
        </w:rPr>
        <w:noBreakHyphen/>
        <w:t>904.</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kern w:val="2"/>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B.</w:t>
      </w:r>
      <w:r w:rsidRPr="00365C57">
        <w:rPr>
          <w:rFonts w:cs="Times New Roman"/>
          <w:color w:val="000000"/>
        </w:rPr>
        <w:tab/>
      </w:r>
      <w:r w:rsidRPr="00365C57">
        <w:rPr>
          <w:rFonts w:cs="Times New Roman"/>
          <w:color w:val="000000"/>
        </w:rPr>
        <w:tab/>
        <w:t>Section 62</w:t>
      </w:r>
      <w:r w:rsidRPr="00365C57">
        <w:rPr>
          <w:rFonts w:cs="Times New Roman"/>
          <w:color w:val="000000"/>
        </w:rPr>
        <w:noBreakHyphen/>
        <w:t>7</w:t>
      </w:r>
      <w:r w:rsidRPr="00365C57">
        <w:rPr>
          <w:rFonts w:cs="Times New Roman"/>
          <w:color w:val="000000"/>
        </w:rPr>
        <w:noBreakHyphen/>
        <w:t>918 of the 1976 Code, as amended in subsection (A) of this section</w:t>
      </w:r>
      <w:r>
        <w:rPr>
          <w:rFonts w:cs="Times New Roman"/>
          <w:color w:val="000000"/>
        </w:rPr>
        <w:t>,</w:t>
      </w:r>
      <w:r w:rsidRPr="00365C57">
        <w:rPr>
          <w:rFonts w:cs="Times New Roman"/>
          <w:color w:val="000000"/>
        </w:rPr>
        <w:t xml:space="preserve"> applies to a trust described in Section 62</w:t>
      </w:r>
      <w:r w:rsidRPr="00365C57">
        <w:rPr>
          <w:rFonts w:cs="Times New Roman"/>
          <w:color w:val="000000"/>
        </w:rPr>
        <w:noBreakHyphen/>
        <w:t>7</w:t>
      </w:r>
      <w:r w:rsidRPr="00365C57">
        <w:rPr>
          <w:rFonts w:cs="Times New Roman"/>
          <w:color w:val="000000"/>
        </w:rPr>
        <w:noBreakHyphen/>
        <w:t>918(D) on and after the following dates: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(1)</w:t>
      </w:r>
      <w:r w:rsidRPr="00365C57">
        <w:rPr>
          <w:rFonts w:cs="Times New Roman"/>
          <w:color w:val="000000"/>
        </w:rPr>
        <w:tab/>
        <w:t>if the trust is not funded as of the effective date of this act, the date of the decedent’s death;</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(2)</w:t>
      </w:r>
      <w:r w:rsidRPr="00365C57">
        <w:rPr>
          <w:rFonts w:cs="Times New Roman"/>
          <w:color w:val="000000"/>
        </w:rPr>
        <w:tab/>
        <w:t>if the trust is initially funded in the calendar year beginning January 1, 2011, the date of the decedent’s death;</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rPr>
        <w:tab/>
        <w:t>(3)</w:t>
      </w:r>
      <w:r w:rsidRPr="00365C57">
        <w:rPr>
          <w:rFonts w:cs="Times New Roman"/>
          <w:color w:val="000000"/>
        </w:rPr>
        <w:tab/>
        <w:t>if the trust is not described in subsections (1) or (2) of this section, January 1, 2011.</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DD0B03"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D0B03">
        <w:rPr>
          <w:b/>
        </w:rPr>
        <w:t>Payment of trusts taxes</w:t>
      </w:r>
    </w:p>
    <w:p w:rsidR="00434DDB"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SECTION</w:t>
      </w:r>
      <w:r w:rsidRPr="00365C57">
        <w:rPr>
          <w:rFonts w:cs="Times New Roman"/>
          <w:color w:val="000000" w:themeColor="text1"/>
          <w:u w:color="000000" w:themeColor="text1"/>
        </w:rPr>
        <w:tab/>
        <w:t>2.</w:t>
      </w:r>
      <w:r w:rsidRPr="00365C57">
        <w:rPr>
          <w:rFonts w:cs="Times New Roman"/>
          <w:color w:val="000000" w:themeColor="text1"/>
          <w:u w:color="000000" w:themeColor="text1"/>
        </w:rPr>
        <w:tab/>
        <w:t>Section 62</w:t>
      </w:r>
      <w:r w:rsidRPr="00365C57">
        <w:rPr>
          <w:rFonts w:cs="Times New Roman"/>
          <w:color w:val="000000" w:themeColor="text1"/>
          <w:u w:color="000000" w:themeColor="text1"/>
        </w:rPr>
        <w:noBreakHyphen/>
        <w:t>7</w:t>
      </w:r>
      <w:r w:rsidRPr="00365C57">
        <w:rPr>
          <w:rFonts w:cs="Times New Roman"/>
          <w:color w:val="000000" w:themeColor="text1"/>
          <w:u w:color="000000" w:themeColor="text1"/>
        </w:rPr>
        <w:noBreakHyphen/>
        <w:t>929 of the 1976 Code is amended to read: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“Section 62</w:t>
      </w:r>
      <w:r w:rsidRPr="00365C57">
        <w:rPr>
          <w:rFonts w:cs="Times New Roman"/>
          <w:color w:val="000000" w:themeColor="text1"/>
          <w:u w:color="000000" w:themeColor="text1"/>
        </w:rPr>
        <w:noBreakHyphen/>
        <w:t>7</w:t>
      </w:r>
      <w:r w:rsidRPr="00365C57">
        <w:rPr>
          <w:rFonts w:cs="Times New Roman"/>
          <w:color w:val="000000" w:themeColor="text1"/>
          <w:u w:color="000000" w:themeColor="text1"/>
        </w:rPr>
        <w:noBreakHyphen/>
        <w:t>929.</w:t>
      </w:r>
      <w:r>
        <w:rPr>
          <w:rFonts w:cs="Times New Roman"/>
          <w:color w:val="000000" w:themeColor="text1"/>
          <w:u w:color="000000" w:themeColor="text1"/>
        </w:rPr>
        <w:tab/>
        <w:t>(A)</w:t>
      </w:r>
      <w:r>
        <w:rPr>
          <w:rFonts w:cs="Times New Roman"/>
          <w:color w:val="000000" w:themeColor="text1"/>
          <w:u w:color="000000" w:themeColor="text1"/>
        </w:rPr>
        <w:tab/>
      </w:r>
      <w:r w:rsidRPr="00365C57">
        <w:rPr>
          <w:rFonts w:cs="Times New Roman"/>
          <w:color w:val="000000" w:themeColor="text1"/>
          <w:u w:color="000000" w:themeColor="text1"/>
        </w:rPr>
        <w:t xml:space="preserve">A tax required to be paid by a trustee based on receipts allocated to income must be paid from income.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t>(B)</w:t>
      </w:r>
      <w:r w:rsidRPr="00365C57">
        <w:rPr>
          <w:rFonts w:cs="Times New Roman"/>
          <w:color w:val="000000" w:themeColor="text1"/>
          <w:u w:color="000000" w:themeColor="text1"/>
        </w:rPr>
        <w:tab/>
        <w:t xml:space="preserve">A tax required to be paid by a trustee based on receipts allocated to principal must be paid from principal, even if the tax is called an income tax by the taxing authority.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rPr>
        <w:tab/>
      </w:r>
      <w:r w:rsidRPr="00365C57">
        <w:rPr>
          <w:rFonts w:cs="Times New Roman"/>
          <w:color w:val="000000" w:themeColor="text1"/>
          <w:u w:color="000000" w:themeColor="text1"/>
        </w:rPr>
        <w:t>(C)</w:t>
      </w:r>
      <w:r w:rsidRPr="00365C57">
        <w:rPr>
          <w:rFonts w:cs="Times New Roman"/>
          <w:color w:val="000000" w:themeColor="text1"/>
          <w:u w:color="000000" w:themeColor="text1"/>
        </w:rPr>
        <w:tab/>
        <w:t>A tax required to be paid by a trustee on the trust’s share of the taxable in</w:t>
      </w:r>
      <w:r>
        <w:rPr>
          <w:rFonts w:cs="Times New Roman"/>
          <w:color w:val="000000" w:themeColor="text1"/>
          <w:u w:color="000000" w:themeColor="text1"/>
        </w:rPr>
        <w:t>come of the entity must be paid</w:t>
      </w:r>
      <w:r w:rsidRPr="00365C57">
        <w:rPr>
          <w:rFonts w:cs="Times New Roman"/>
          <w:color w:val="000000" w:themeColor="text1"/>
          <w:u w:color="000000" w:themeColor="text1"/>
        </w:rPr>
        <w:t xml:space="preserve">: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(1)</w:t>
      </w:r>
      <w:r w:rsidRPr="00365C57">
        <w:rPr>
          <w:rFonts w:cs="Times New Roman"/>
          <w:color w:val="000000" w:themeColor="text1"/>
          <w:u w:color="000000" w:themeColor="text1"/>
        </w:rPr>
        <w:tab/>
      </w:r>
      <w:r w:rsidRPr="00365C57">
        <w:rPr>
          <w:rFonts w:cs="Times New Roman"/>
          <w:color w:val="000000" w:themeColor="text1"/>
        </w:rPr>
        <w:t xml:space="preserve">from </w:t>
      </w:r>
      <w:r w:rsidRPr="00365C57">
        <w:rPr>
          <w:rFonts w:cs="Times New Roman"/>
          <w:color w:val="000000" w:themeColor="text1"/>
          <w:u w:color="000000" w:themeColor="text1"/>
        </w:rPr>
        <w:t>income, to the extent that receipts from the entity are allocated to income;</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(2)</w:t>
      </w:r>
      <w:r w:rsidRPr="00365C57">
        <w:rPr>
          <w:rFonts w:cs="Times New Roman"/>
          <w:color w:val="000000" w:themeColor="text1"/>
          <w:u w:color="000000" w:themeColor="text1"/>
        </w:rPr>
        <w:tab/>
      </w:r>
      <w:r w:rsidRPr="00365C57">
        <w:rPr>
          <w:rFonts w:cs="Times New Roman"/>
          <w:color w:val="000000" w:themeColor="text1"/>
        </w:rPr>
        <w:t xml:space="preserve">from </w:t>
      </w:r>
      <w:r w:rsidRPr="00365C57">
        <w:rPr>
          <w:rFonts w:cs="Times New Roman"/>
          <w:color w:val="000000" w:themeColor="text1"/>
          <w:u w:color="000000" w:themeColor="text1"/>
        </w:rPr>
        <w:t>principal, to the extent that</w:t>
      </w:r>
      <w:r>
        <w:rPr>
          <w:rFonts w:cs="Times New Roman"/>
          <w:color w:val="000000" w:themeColor="text1"/>
          <w:u w:color="000000" w:themeColor="text1"/>
        </w:rPr>
        <w:t xml:space="preserve"> </w:t>
      </w:r>
      <w:r w:rsidRPr="00365C57">
        <w:rPr>
          <w:rFonts w:cs="Times New Roman"/>
          <w:color w:val="000000" w:themeColor="text1"/>
          <w:u w:color="000000" w:themeColor="text1"/>
        </w:rPr>
        <w:t xml:space="preserve">receipts from the entity are allocated only to principal;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(3)</w:t>
      </w:r>
      <w:r w:rsidRPr="00365C57">
        <w:rPr>
          <w:rFonts w:cs="Times New Roman"/>
          <w:color w:val="000000" w:themeColor="text1"/>
          <w:u w:color="000000" w:themeColor="text1"/>
        </w:rPr>
        <w:tab/>
        <w:t>proportionately from principal and income to the extent that receipts from the entity are allocated to both income and principal; and</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ab/>
      </w:r>
      <w:r w:rsidRPr="00365C57">
        <w:rPr>
          <w:rFonts w:cs="Times New Roman"/>
          <w:color w:val="000000" w:themeColor="text1"/>
          <w:u w:color="000000" w:themeColor="text1"/>
        </w:rPr>
        <w:tab/>
        <w:t>(4)</w:t>
      </w:r>
      <w:r w:rsidRPr="00365C57">
        <w:rPr>
          <w:rFonts w:cs="Times New Roman"/>
          <w:color w:val="000000" w:themeColor="text1"/>
          <w:u w:color="000000" w:themeColor="text1"/>
        </w:rPr>
        <w:tab/>
        <w:t>from principal to the extent that the tax exceeds the total receipts from the entity.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r>
      <w:r w:rsidRPr="00365C57">
        <w:rPr>
          <w:rFonts w:cs="Times New Roman"/>
          <w:color w:val="000000" w:themeColor="text1"/>
          <w:u w:color="000000" w:themeColor="text1"/>
        </w:rPr>
        <w:t>After applying subsections (A) through (C), the trustee shall adjust income or principal receipts to the extent that the trust’s taxes are reduced because the trust receives a deduction for payments made to a beneficiary.”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cs="Times New Roman"/>
          <w:color w:val="000000" w:themeColor="text1"/>
          <w:u w:color="000000" w:themeColor="text1"/>
        </w:rPr>
        <w:t>REPORTER’S COMMENTS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Taxes on Undistributed Entity Taxable Income.  When a trust owns an interest in a pass</w:t>
      </w:r>
      <w:r w:rsidRPr="00365C57">
        <w:rPr>
          <w:rFonts w:cs="Times New Roman"/>
          <w:color w:val="000000"/>
        </w:rPr>
        <w:noBreakHyphen/>
        <w:t xml:space="preserve">through entity, such as a partnership or </w:t>
      </w:r>
      <w:r>
        <w:rPr>
          <w:rFonts w:cs="Times New Roman"/>
          <w:color w:val="000000"/>
        </w:rPr>
        <w:t>“</w:t>
      </w:r>
      <w:r w:rsidRPr="00365C57">
        <w:rPr>
          <w:rFonts w:cs="Times New Roman"/>
          <w:color w:val="000000"/>
        </w:rPr>
        <w:t>S</w:t>
      </w:r>
      <w:r>
        <w:rPr>
          <w:rFonts w:cs="Times New Roman"/>
          <w:color w:val="000000"/>
        </w:rPr>
        <w:t>”</w:t>
      </w:r>
      <w:r w:rsidRPr="00365C57">
        <w:rPr>
          <w:rFonts w:cs="Times New Roman"/>
          <w:color w:val="000000"/>
        </w:rPr>
        <w:t xml:space="preserve"> corporation, it must report its share of the entity’s taxable income regardless of how much the entity distributes to the trust.  Whether the entity distributes more or less than the trust’s tax on its share of the entity’s taxable income, the trust must pay the taxes and allocate them between income and principal.</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Subsection (C) requires the trust to pay the taxes on its share of an entity’s taxable income from income or principal receipts to the extent that receipts from the entity are allocable to each.  This assures the trust a source of cash to pay some or all of the taxes on its share of the entity’s taxable income.  Subsection (D) recognizes that, except in the case of an Electing Small Business Trust (ESBT), a trust normally receives a deduction for amounts distributed to a beneficiary.  Accordingly, subsection (D) requires the trust to increase receipts payable to a beneficiary as determined under subsection (C) to the extent the trust’s taxes are reduced by distributing those receipts to the beneficiary.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Because the trust’s taxes and amounts distributed to a beneficiary are interrelated, the trust may be required to apply a formula to determine the correct amount payable to a beneficiary.  This formula should take into account that each time a distribution is made to a beneficiary, the trust taxes are reduced and amounts distributable to a beneficiary are increased.  The formula assures that after deducting distributions to a beneficiary, the trust has enough to satisfy its taxes on its share of the entity’s taxable income as reduced by distributions to beneficiaries.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 xml:space="preserve">Example (1) </w:t>
      </w:r>
      <w:r w:rsidRPr="00365C57">
        <w:rPr>
          <w:rFonts w:cs="Times New Roman"/>
          <w:color w:val="000000"/>
        </w:rPr>
        <w:noBreakHyphen/>
        <w:t xml:space="preserve"> Trust T receives a Schedule K</w:t>
      </w:r>
      <w:r w:rsidRPr="00365C57">
        <w:rPr>
          <w:rFonts w:cs="Times New Roman"/>
          <w:color w:val="000000"/>
        </w:rPr>
        <w:noBreakHyphen/>
        <w:t xml:space="preserve">1 from Partnership P reflecting taxable income of $1 million.  Partnership P distributes $100,000 to T, which allocates the receipts to income.  Both Trust T and income Beneficiary B are in the 35 percent tax bracket.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365C57">
        <w:rPr>
          <w:rFonts w:cs="Times New Roman"/>
          <w:color w:val="000000"/>
        </w:rPr>
        <w:t>Trust T’s tax on $1 million of taxable income is $350,000.  Under subsection (C) T’s tax must be paid from income receipts because receipts from the entity are allocated only to income.  Therefore, T must apply the entire $100,000 of income receipts to pay its tax.  In this case, Beneficiary B receives nothing.</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 xml:space="preserve">Example (2) </w:t>
      </w:r>
      <w:r w:rsidRPr="00365C57">
        <w:rPr>
          <w:rFonts w:cs="Times New Roman"/>
          <w:color w:val="000000"/>
        </w:rPr>
        <w:noBreakHyphen/>
        <w:t xml:space="preserve"> Trust T receives a Schedule K</w:t>
      </w:r>
      <w:r w:rsidRPr="00365C57">
        <w:rPr>
          <w:rFonts w:cs="Times New Roman"/>
          <w:color w:val="000000"/>
        </w:rPr>
        <w:noBreakHyphen/>
        <w:t>1 from Partnership P reflecting taxable income of $1 million.  Partnership P distributes $500,000 to T, which allocates the receipts to income.  Both Trust T and income Beneficiary B are in the 35 percent tax bracket.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T</w:t>
      </w:r>
      <w:r w:rsidRPr="00365C57">
        <w:rPr>
          <w:rFonts w:cs="Times New Roman"/>
          <w:color w:val="000000"/>
        </w:rPr>
        <w:t xml:space="preserve">rust T’s tax on $1 million of taxable income is $350,000.  Under subsection (C), T’s tax must be paid from income receipts because receipts from P are allocated only to income.  Therefore, T uses $350,000 of the $500,000 to pay its taxes and distributes the remaining $150,000 to B.  The $150,000 payment to B reduces T’s taxes by $52,500, which it must pay to B.  But the $52,500 further reduces T’s taxes by $18,375, which it also must pay to B.  In fact, each time T makes a distribution to B, its taxes are further reduced, causing another payment to be due B.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Alternatively, T can apply the following algebraic formula to determine the amount payable to B:</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t>D = (C</w:t>
      </w:r>
      <w:r w:rsidRPr="00365C57">
        <w:rPr>
          <w:rFonts w:cs="Times New Roman"/>
          <w:color w:val="000000"/>
        </w:rPr>
        <w:noBreakHyphen/>
        <w:t>R*K)/(1</w:t>
      </w:r>
      <w:r w:rsidRPr="00365C57">
        <w:rPr>
          <w:rFonts w:cs="Times New Roman"/>
          <w:color w:val="000000"/>
        </w:rPr>
        <w:noBreakHyphen/>
        <w:t>R)</w:t>
      </w:r>
    </w:p>
    <w:p w:rsidR="00434DDB"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D = Distribution to income beneficiary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C = Cash paid by the entity to the trust</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R = tax rate on income</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K = entity’s K</w:t>
      </w:r>
      <w:r w:rsidRPr="00365C57">
        <w:rPr>
          <w:rFonts w:cs="Times New Roman"/>
          <w:color w:val="000000"/>
        </w:rPr>
        <w:noBreakHyphen/>
        <w:t>1 taxable income</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Applying the formula to Example (2) above, Trust T must pay $230,769 to B so that after deducting the payment, T has exactly enough to pay its tax on the remaining taxable income from P.</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Taxable Income per K</w:t>
      </w:r>
      <w:r w:rsidRPr="00365C57">
        <w:rPr>
          <w:rFonts w:cs="Times New Roman"/>
          <w:color w:val="000000"/>
        </w:rPr>
        <w:noBreakHyphen/>
        <w:t>1</w:t>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t>$1,000,000</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 xml:space="preserve">Payment to beneficiary </w:t>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t>$230,769 [1]</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Trust Taxable Income</w:t>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t>$769,231</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35 percent tax</w:t>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t>$269,231</w:t>
      </w:r>
      <w:r w:rsidRPr="00365C57">
        <w:rPr>
          <w:rFonts w:cs="Times New Roman"/>
          <w:color w:val="000000"/>
        </w:rPr>
        <w:tab/>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Partnership Distribution</w:t>
      </w:r>
      <w:r w:rsidRPr="00365C57">
        <w:rPr>
          <w:rFonts w:cs="Times New Roman"/>
          <w:color w:val="000000"/>
        </w:rPr>
        <w:tab/>
      </w:r>
      <w:r w:rsidRPr="00365C57">
        <w:rPr>
          <w:rFonts w:cs="Times New Roman"/>
          <w:color w:val="000000"/>
        </w:rPr>
        <w:tab/>
      </w:r>
      <w:r w:rsidRPr="00365C57">
        <w:rPr>
          <w:rFonts w:cs="Times New Roman"/>
          <w:color w:val="000000"/>
        </w:rPr>
        <w:tab/>
      </w:r>
      <w:r w:rsidRPr="00365C57">
        <w:rPr>
          <w:rFonts w:cs="Times New Roman"/>
          <w:color w:val="000000"/>
        </w:rPr>
        <w:tab/>
        <w:t>$500,000</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Fiduciary’s Tax Liability</w:t>
      </w:r>
      <w:r w:rsidRPr="00365C57">
        <w:rPr>
          <w:rFonts w:cs="Times New Roman"/>
          <w:color w:val="000000"/>
        </w:rPr>
        <w:tab/>
      </w:r>
      <w:r w:rsidRPr="00365C57">
        <w:rPr>
          <w:rFonts w:cs="Times New Roman"/>
          <w:color w:val="000000"/>
        </w:rPr>
        <w:tab/>
      </w:r>
      <w:r w:rsidRPr="00365C57">
        <w:rPr>
          <w:rFonts w:cs="Times New Roman"/>
          <w:color w:val="000000"/>
        </w:rPr>
        <w:tab/>
        <w:t>($269,231)</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r>
      <w:r w:rsidRPr="00365C57">
        <w:rPr>
          <w:rFonts w:cs="Times New Roman"/>
          <w:color w:val="000000"/>
        </w:rPr>
        <w:tab/>
      </w:r>
      <w:r w:rsidRPr="00365C57">
        <w:rPr>
          <w:rFonts w:cs="Times New Roman"/>
          <w:color w:val="000000"/>
        </w:rPr>
        <w:tab/>
        <w:t>Payable to the Beneficiary</w:t>
      </w:r>
      <w:r w:rsidRPr="00365C57">
        <w:rPr>
          <w:rFonts w:cs="Times New Roman"/>
          <w:color w:val="000000"/>
        </w:rPr>
        <w:tab/>
      </w:r>
      <w:r w:rsidRPr="00365C57">
        <w:rPr>
          <w:rFonts w:cs="Times New Roman"/>
          <w:color w:val="000000"/>
        </w:rPr>
        <w:tab/>
      </w:r>
      <w:r w:rsidRPr="00365C57">
        <w:rPr>
          <w:rFonts w:cs="Times New Roman"/>
          <w:color w:val="000000"/>
        </w:rPr>
        <w:tab/>
        <w:t>$230,769</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 xml:space="preserve">In addition, B will report $230,769 on his or her own personal income tax return, paying taxes of $80,769.  Because Trust T withheld $269,231 to pay its taxes and B paid $80,769 taxes of its own, B bore the entire $350,000 tax burden on the $1 million of entity taxable income, including the $500,000 that the entity retained that presumably increased the value of the trust’s investment entity. </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65C57">
        <w:rPr>
          <w:rFonts w:cs="Times New Roman"/>
          <w:color w:val="000000"/>
        </w:rPr>
        <w:tab/>
        <w:t>If a trustee determines that it is appropriate to do so, it should consider exercising the discretion granted in Section 62</w:t>
      </w:r>
      <w:r w:rsidRPr="00365C57">
        <w:rPr>
          <w:rFonts w:cs="Times New Roman"/>
          <w:color w:val="000000"/>
        </w:rPr>
        <w:noBreakHyphen/>
        <w:t>7</w:t>
      </w:r>
      <w:r w:rsidRPr="00365C57">
        <w:rPr>
          <w:rFonts w:cs="Times New Roman"/>
          <w:color w:val="000000"/>
        </w:rPr>
        <w:noBreakHyphen/>
        <w:t>930 to adjust between income and principal.  Alternatively, the trustee may exercise the power to adjust under Section 62</w:t>
      </w:r>
      <w:r w:rsidRPr="00365C57">
        <w:rPr>
          <w:rFonts w:cs="Times New Roman"/>
          <w:color w:val="000000"/>
        </w:rPr>
        <w:noBreakHyphen/>
        <w:t>7</w:t>
      </w:r>
      <w:r w:rsidRPr="00365C57">
        <w:rPr>
          <w:rFonts w:cs="Times New Roman"/>
          <w:color w:val="000000"/>
        </w:rPr>
        <w:noBreakHyphen/>
        <w:t>904 to the extent it is available and appropriate under the circumstances, including whether a future distribution from the entity that would be allocated to principal should be reallocated to income because the income beneficiary already bore the burden of taxes on the reinvested income.  In exercising the power, the trust should consider the impact that future distributions will have on any current adjustments.</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5C57">
        <w:rPr>
          <w:rFonts w:eastAsia="SimSun" w:cs="Times New Roman"/>
        </w:rPr>
        <w:t>[</w:t>
      </w:r>
      <w:r w:rsidRPr="00365C57">
        <w:rPr>
          <w:rFonts w:cs="Times New Roman"/>
        </w:rPr>
        <w:t>1]</w:t>
      </w:r>
      <w:r w:rsidRPr="00365C57">
        <w:rPr>
          <w:rFonts w:eastAsia="SimSun" w:cs="Times New Roman"/>
          <w:szCs w:val="24"/>
        </w:rPr>
        <w:t xml:space="preserve"> D = (C</w:t>
      </w:r>
      <w:r w:rsidRPr="00365C57">
        <w:rPr>
          <w:rFonts w:eastAsia="SimSun" w:cs="Times New Roman"/>
          <w:szCs w:val="24"/>
        </w:rPr>
        <w:noBreakHyphen/>
        <w:t>R*K)/(1</w:t>
      </w:r>
      <w:r w:rsidRPr="00365C57">
        <w:rPr>
          <w:rFonts w:eastAsia="SimSun" w:cs="Times New Roman"/>
          <w:szCs w:val="24"/>
        </w:rPr>
        <w:noBreakHyphen/>
        <w:t xml:space="preserve">R) = (500,000 – 350,000)/(1 </w:t>
      </w:r>
      <w:r w:rsidRPr="00365C57">
        <w:rPr>
          <w:rFonts w:eastAsia="SimSun" w:cs="Times New Roman"/>
          <w:szCs w:val="24"/>
        </w:rPr>
        <w:noBreakHyphen/>
        <w:t xml:space="preserve"> .35) = $230,769. (D is the amount payable to the income beneficiary, K is the entity’s K</w:t>
      </w:r>
      <w:r w:rsidRPr="00365C57">
        <w:rPr>
          <w:rFonts w:eastAsia="SimSun" w:cs="Times New Roman"/>
          <w:szCs w:val="24"/>
        </w:rPr>
        <w:noBreakHyphen/>
        <w:t>1 taxable income, R is the trust ordinary tax rate, and C is the cash distributed by the entity)</w:t>
      </w: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DD0B03"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34DDB"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34DDB" w:rsidRPr="00365C57" w:rsidRDefault="00434DDB"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5C57">
        <w:rPr>
          <w:rFonts w:cs="Times New Roman"/>
          <w:color w:val="000000" w:themeColor="text1"/>
          <w:u w:color="000000" w:themeColor="text1"/>
        </w:rPr>
        <w:t>SECTION</w:t>
      </w:r>
      <w:r w:rsidRPr="00365C57">
        <w:rPr>
          <w:rFonts w:cs="Times New Roman"/>
          <w:color w:val="000000" w:themeColor="text1"/>
          <w:u w:color="000000" w:themeColor="text1"/>
        </w:rPr>
        <w:tab/>
        <w:t>3.</w:t>
      </w:r>
      <w:r w:rsidRPr="00365C57">
        <w:rPr>
          <w:rFonts w:cs="Times New Roman"/>
        </w:rPr>
        <w:tab/>
        <w:t>This act takes effect upon approval by the Governor.</w:t>
      </w:r>
    </w:p>
    <w:p w:rsidR="00434DDB" w:rsidRDefault="00434DDB" w:rsidP="00434DDB">
      <w:pPr>
        <w:tabs>
          <w:tab w:val="left" w:pos="1440"/>
          <w:tab w:val="left" w:pos="1800"/>
          <w:tab w:val="left" w:pos="2880"/>
        </w:tabs>
        <w:rPr>
          <w:color w:val="000000" w:themeColor="text1"/>
        </w:rPr>
      </w:pPr>
    </w:p>
    <w:p w:rsidR="00434DDB" w:rsidRDefault="00434DDB" w:rsidP="00434DDB">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434DDB" w:rsidRDefault="00434DDB" w:rsidP="00434DDB">
      <w:pPr>
        <w:tabs>
          <w:tab w:val="left" w:pos="1440"/>
          <w:tab w:val="left" w:pos="1800"/>
          <w:tab w:val="left" w:pos="2880"/>
        </w:tabs>
        <w:rPr>
          <w:color w:val="000000" w:themeColor="text1"/>
        </w:rPr>
      </w:pPr>
    </w:p>
    <w:p w:rsidR="00434DDB" w:rsidRDefault="00434DDB" w:rsidP="00434DDB">
      <w:pPr>
        <w:tabs>
          <w:tab w:val="left" w:pos="1440"/>
          <w:tab w:val="left" w:pos="1800"/>
          <w:tab w:val="left" w:pos="2880"/>
        </w:tabs>
        <w:rPr>
          <w:color w:val="000000" w:themeColor="text1"/>
        </w:rPr>
      </w:pPr>
      <w:r>
        <w:rPr>
          <w:color w:val="000000" w:themeColor="text1"/>
        </w:rPr>
        <w:t>Approved the 7</w:t>
      </w:r>
      <w:r w:rsidRPr="00737E27">
        <w:rPr>
          <w:color w:val="000000" w:themeColor="text1"/>
          <w:vertAlign w:val="superscript"/>
        </w:rPr>
        <w:t>th</w:t>
      </w:r>
      <w:r>
        <w:rPr>
          <w:color w:val="000000" w:themeColor="text1"/>
        </w:rPr>
        <w:t xml:space="preserve"> day of June, 2012. </w:t>
      </w:r>
    </w:p>
    <w:p w:rsidR="00434DDB" w:rsidRDefault="00434DDB" w:rsidP="00434DDB">
      <w:pPr>
        <w:tabs>
          <w:tab w:val="left" w:pos="1440"/>
          <w:tab w:val="left" w:pos="1800"/>
          <w:tab w:val="left" w:pos="2880"/>
        </w:tabs>
        <w:jc w:val="center"/>
        <w:rPr>
          <w:color w:val="000000" w:themeColor="text1"/>
        </w:rPr>
      </w:pPr>
    </w:p>
    <w:p w:rsidR="00434DDB" w:rsidRDefault="00434DDB" w:rsidP="00434DDB">
      <w:pPr>
        <w:tabs>
          <w:tab w:val="left" w:pos="1440"/>
          <w:tab w:val="left" w:pos="1800"/>
          <w:tab w:val="left" w:pos="2880"/>
        </w:tabs>
        <w:jc w:val="center"/>
        <w:rPr>
          <w:color w:val="000000" w:themeColor="text1"/>
        </w:rPr>
      </w:pPr>
      <w:r>
        <w:rPr>
          <w:color w:val="000000" w:themeColor="text1"/>
        </w:rPr>
        <w:t>__________</w:t>
      </w:r>
    </w:p>
    <w:p w:rsidR="00126F36" w:rsidRPr="00EE7B08" w:rsidRDefault="00126F36" w:rsidP="00434D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26F36" w:rsidRPr="00EE7B08" w:rsidSect="00336CD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E96" w:rsidRDefault="00F91E96" w:rsidP="007D5FAC">
      <w:r>
        <w:separator/>
      </w:r>
    </w:p>
  </w:endnote>
  <w:endnote w:type="continuationSeparator" w:id="0">
    <w:p w:rsidR="00F91E96" w:rsidRDefault="00F91E9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D1" w:rsidRPr="00336CD1" w:rsidRDefault="00336CD1" w:rsidP="00336CD1">
    <w:pPr>
      <w:pStyle w:val="Footer"/>
      <w:tabs>
        <w:tab w:val="clear" w:pos="4680"/>
        <w:tab w:val="clear" w:pos="9360"/>
        <w:tab w:val="center" w:pos="3168"/>
      </w:tabs>
      <w:spacing w:before="120"/>
    </w:pPr>
    <w:r>
      <w:tab/>
    </w:r>
    <w:r w:rsidR="002116F3">
      <w:fldChar w:fldCharType="begin"/>
    </w:r>
    <w:r w:rsidR="00AD6531">
      <w:instrText xml:space="preserve"> PAGE  \* MERGEFORMAT </w:instrText>
    </w:r>
    <w:r w:rsidR="002116F3">
      <w:fldChar w:fldCharType="separate"/>
    </w:r>
    <w:r w:rsidR="00434DDB">
      <w:rPr>
        <w:noProof/>
      </w:rPr>
      <w:t>9</w:t>
    </w:r>
    <w:r w:rsidR="002116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D1" w:rsidRDefault="00336C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E96" w:rsidRDefault="00F91E96" w:rsidP="007D5FAC">
      <w:r>
        <w:separator/>
      </w:r>
    </w:p>
  </w:footnote>
  <w:footnote w:type="continuationSeparator" w:id="0">
    <w:p w:rsidR="00F91E96" w:rsidRDefault="00F91E9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29"/>
    <w:docVar w:name="ActSecretary" w:val="Shackelford"/>
    <w:docVar w:name="ActSIdno" w:val="(558)  429DG12"/>
    <w:docVar w:name="clipname" w:val="429DG12"/>
    <w:docVar w:name="dvBillNumber" w:val="429"/>
    <w:docVar w:name="dvBillNumberPrefix" w:val="S"/>
    <w:docVar w:name="dvOriginalBody" w:val="Senate"/>
    <w:docVar w:name="OrigSENATEBillNo" w:val="429"/>
    <w:docVar w:name="SENATEACTFULLPATH" w:val="L:\COUNCIL\ACTS\429DG12.DOCX"/>
    <w:docVar w:name="WhatActtype" w:val="AN ACT"/>
  </w:docVars>
  <w:rsids>
    <w:rsidRoot w:val="004078ED"/>
    <w:rsid w:val="00002DE0"/>
    <w:rsid w:val="00020349"/>
    <w:rsid w:val="00021B0B"/>
    <w:rsid w:val="00030487"/>
    <w:rsid w:val="00040C05"/>
    <w:rsid w:val="00044F3E"/>
    <w:rsid w:val="0004579B"/>
    <w:rsid w:val="00046F3E"/>
    <w:rsid w:val="00051B4F"/>
    <w:rsid w:val="00055242"/>
    <w:rsid w:val="00055653"/>
    <w:rsid w:val="000673E4"/>
    <w:rsid w:val="0007088D"/>
    <w:rsid w:val="000731E9"/>
    <w:rsid w:val="00074565"/>
    <w:rsid w:val="0007615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3615"/>
    <w:rsid w:val="000F3737"/>
    <w:rsid w:val="001030FE"/>
    <w:rsid w:val="001031AE"/>
    <w:rsid w:val="00103295"/>
    <w:rsid w:val="00103D2E"/>
    <w:rsid w:val="00104519"/>
    <w:rsid w:val="00106968"/>
    <w:rsid w:val="00114830"/>
    <w:rsid w:val="00114E88"/>
    <w:rsid w:val="001237B9"/>
    <w:rsid w:val="00125FC3"/>
    <w:rsid w:val="00126F36"/>
    <w:rsid w:val="0012748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7E2"/>
    <w:rsid w:val="001D279C"/>
    <w:rsid w:val="001D550F"/>
    <w:rsid w:val="001D5B5B"/>
    <w:rsid w:val="001E0CFB"/>
    <w:rsid w:val="001E47D6"/>
    <w:rsid w:val="001F1CCC"/>
    <w:rsid w:val="001F729C"/>
    <w:rsid w:val="00200C6E"/>
    <w:rsid w:val="00204492"/>
    <w:rsid w:val="00204D28"/>
    <w:rsid w:val="00206EF4"/>
    <w:rsid w:val="002116F3"/>
    <w:rsid w:val="00212CD6"/>
    <w:rsid w:val="00215235"/>
    <w:rsid w:val="0022353B"/>
    <w:rsid w:val="00223E0F"/>
    <w:rsid w:val="00231146"/>
    <w:rsid w:val="00231E65"/>
    <w:rsid w:val="002321B6"/>
    <w:rsid w:val="00234401"/>
    <w:rsid w:val="00234E70"/>
    <w:rsid w:val="002367D4"/>
    <w:rsid w:val="00241B81"/>
    <w:rsid w:val="00241C04"/>
    <w:rsid w:val="00242F15"/>
    <w:rsid w:val="002447D8"/>
    <w:rsid w:val="00254411"/>
    <w:rsid w:val="00257ACD"/>
    <w:rsid w:val="0026638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B8C"/>
    <w:rsid w:val="00293450"/>
    <w:rsid w:val="00294396"/>
    <w:rsid w:val="00296B4D"/>
    <w:rsid w:val="002A6880"/>
    <w:rsid w:val="002A7F6D"/>
    <w:rsid w:val="002B32FC"/>
    <w:rsid w:val="002B787D"/>
    <w:rsid w:val="002C0E95"/>
    <w:rsid w:val="002C3DB3"/>
    <w:rsid w:val="002C4C93"/>
    <w:rsid w:val="002C7D37"/>
    <w:rsid w:val="002D3267"/>
    <w:rsid w:val="002D7489"/>
    <w:rsid w:val="002D7F22"/>
    <w:rsid w:val="002E0E09"/>
    <w:rsid w:val="002E22AA"/>
    <w:rsid w:val="002E2659"/>
    <w:rsid w:val="002F1141"/>
    <w:rsid w:val="002F45B3"/>
    <w:rsid w:val="00304605"/>
    <w:rsid w:val="003049A0"/>
    <w:rsid w:val="00305689"/>
    <w:rsid w:val="0031739F"/>
    <w:rsid w:val="003219FC"/>
    <w:rsid w:val="0032380E"/>
    <w:rsid w:val="00325D1F"/>
    <w:rsid w:val="00332945"/>
    <w:rsid w:val="003348FE"/>
    <w:rsid w:val="00334EAC"/>
    <w:rsid w:val="00336CD1"/>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2E8"/>
    <w:rsid w:val="003C515D"/>
    <w:rsid w:val="003D2A73"/>
    <w:rsid w:val="003D329C"/>
    <w:rsid w:val="00400828"/>
    <w:rsid w:val="004078ED"/>
    <w:rsid w:val="00412B47"/>
    <w:rsid w:val="00414C2A"/>
    <w:rsid w:val="004157C4"/>
    <w:rsid w:val="0041760A"/>
    <w:rsid w:val="00417A9C"/>
    <w:rsid w:val="00423310"/>
    <w:rsid w:val="00427BCB"/>
    <w:rsid w:val="00430DA3"/>
    <w:rsid w:val="00432E09"/>
    <w:rsid w:val="00434DDB"/>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2EC7"/>
    <w:rsid w:val="004A5193"/>
    <w:rsid w:val="004A76F3"/>
    <w:rsid w:val="004B1DA6"/>
    <w:rsid w:val="004B27E8"/>
    <w:rsid w:val="004B41E5"/>
    <w:rsid w:val="004C115D"/>
    <w:rsid w:val="004C190F"/>
    <w:rsid w:val="004C511C"/>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0C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F94"/>
    <w:rsid w:val="005C4B9E"/>
    <w:rsid w:val="005C5915"/>
    <w:rsid w:val="005D484D"/>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7A4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28A5"/>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0EFA"/>
    <w:rsid w:val="007E2084"/>
    <w:rsid w:val="007E3A81"/>
    <w:rsid w:val="007F0AFE"/>
    <w:rsid w:val="007F3574"/>
    <w:rsid w:val="007F6631"/>
    <w:rsid w:val="007F6D46"/>
    <w:rsid w:val="007F7184"/>
    <w:rsid w:val="00800AD0"/>
    <w:rsid w:val="008145D2"/>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336"/>
    <w:rsid w:val="008746A0"/>
    <w:rsid w:val="00875B4B"/>
    <w:rsid w:val="00877295"/>
    <w:rsid w:val="00882791"/>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50E1"/>
    <w:rsid w:val="009560AB"/>
    <w:rsid w:val="009631DC"/>
    <w:rsid w:val="00971351"/>
    <w:rsid w:val="0097332E"/>
    <w:rsid w:val="00974FD7"/>
    <w:rsid w:val="00980444"/>
    <w:rsid w:val="00982E93"/>
    <w:rsid w:val="00990677"/>
    <w:rsid w:val="00997D30"/>
    <w:rsid w:val="009A31B6"/>
    <w:rsid w:val="009B0FA5"/>
    <w:rsid w:val="009B6EA6"/>
    <w:rsid w:val="009C170D"/>
    <w:rsid w:val="009C6CC0"/>
    <w:rsid w:val="009D0B32"/>
    <w:rsid w:val="009D75E7"/>
    <w:rsid w:val="009F254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759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72E"/>
    <w:rsid w:val="00AD107E"/>
    <w:rsid w:val="00AD33E6"/>
    <w:rsid w:val="00AD422A"/>
    <w:rsid w:val="00AD4887"/>
    <w:rsid w:val="00AD6531"/>
    <w:rsid w:val="00AE2FA6"/>
    <w:rsid w:val="00AE42DA"/>
    <w:rsid w:val="00AE4DFB"/>
    <w:rsid w:val="00AF08CD"/>
    <w:rsid w:val="00AF2080"/>
    <w:rsid w:val="00AF3196"/>
    <w:rsid w:val="00AF3FED"/>
    <w:rsid w:val="00AF7929"/>
    <w:rsid w:val="00AF7A83"/>
    <w:rsid w:val="00B010E0"/>
    <w:rsid w:val="00B061E6"/>
    <w:rsid w:val="00B11270"/>
    <w:rsid w:val="00B1252A"/>
    <w:rsid w:val="00B12572"/>
    <w:rsid w:val="00B303AC"/>
    <w:rsid w:val="00B374C4"/>
    <w:rsid w:val="00B408FD"/>
    <w:rsid w:val="00B473D4"/>
    <w:rsid w:val="00B4797F"/>
    <w:rsid w:val="00B516BA"/>
    <w:rsid w:val="00B520A2"/>
    <w:rsid w:val="00B532EB"/>
    <w:rsid w:val="00B62CAB"/>
    <w:rsid w:val="00B72ED3"/>
    <w:rsid w:val="00B73571"/>
    <w:rsid w:val="00B74177"/>
    <w:rsid w:val="00B83DA1"/>
    <w:rsid w:val="00B846E9"/>
    <w:rsid w:val="00BB1593"/>
    <w:rsid w:val="00BB43F6"/>
    <w:rsid w:val="00BB7B1B"/>
    <w:rsid w:val="00BC5FF9"/>
    <w:rsid w:val="00BE36EB"/>
    <w:rsid w:val="00BE41F8"/>
    <w:rsid w:val="00BE5640"/>
    <w:rsid w:val="00BF1B60"/>
    <w:rsid w:val="00BF2034"/>
    <w:rsid w:val="00BF33CD"/>
    <w:rsid w:val="00BF352D"/>
    <w:rsid w:val="00BF6E92"/>
    <w:rsid w:val="00C0158B"/>
    <w:rsid w:val="00C02F6F"/>
    <w:rsid w:val="00C03629"/>
    <w:rsid w:val="00C04FCB"/>
    <w:rsid w:val="00C06FF3"/>
    <w:rsid w:val="00C1173A"/>
    <w:rsid w:val="00C120F8"/>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6B55"/>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2D16"/>
    <w:rsid w:val="00E076BB"/>
    <w:rsid w:val="00E12275"/>
    <w:rsid w:val="00E14905"/>
    <w:rsid w:val="00E3356F"/>
    <w:rsid w:val="00E33964"/>
    <w:rsid w:val="00E3462F"/>
    <w:rsid w:val="00E36231"/>
    <w:rsid w:val="00E46327"/>
    <w:rsid w:val="00E500F1"/>
    <w:rsid w:val="00E5358E"/>
    <w:rsid w:val="00E5665F"/>
    <w:rsid w:val="00E60357"/>
    <w:rsid w:val="00E61B4C"/>
    <w:rsid w:val="00E65F39"/>
    <w:rsid w:val="00E71D4E"/>
    <w:rsid w:val="00E757F4"/>
    <w:rsid w:val="00E90F7E"/>
    <w:rsid w:val="00E91ABC"/>
    <w:rsid w:val="00E9303D"/>
    <w:rsid w:val="00EA2A3A"/>
    <w:rsid w:val="00EA77B0"/>
    <w:rsid w:val="00EB223A"/>
    <w:rsid w:val="00EC47CE"/>
    <w:rsid w:val="00ED4871"/>
    <w:rsid w:val="00EE42B4"/>
    <w:rsid w:val="00EE663F"/>
    <w:rsid w:val="00EF0E4A"/>
    <w:rsid w:val="00EF3301"/>
    <w:rsid w:val="00EF6923"/>
    <w:rsid w:val="00F035BD"/>
    <w:rsid w:val="00F07446"/>
    <w:rsid w:val="00F1036B"/>
    <w:rsid w:val="00F10FAC"/>
    <w:rsid w:val="00F16F4D"/>
    <w:rsid w:val="00F178A1"/>
    <w:rsid w:val="00F178BC"/>
    <w:rsid w:val="00F21DD7"/>
    <w:rsid w:val="00F24361"/>
    <w:rsid w:val="00F25311"/>
    <w:rsid w:val="00F30AAF"/>
    <w:rsid w:val="00F310E4"/>
    <w:rsid w:val="00F34004"/>
    <w:rsid w:val="00F348D3"/>
    <w:rsid w:val="00F34BF1"/>
    <w:rsid w:val="00F3642A"/>
    <w:rsid w:val="00F432E0"/>
    <w:rsid w:val="00F44E35"/>
    <w:rsid w:val="00F509CF"/>
    <w:rsid w:val="00F51775"/>
    <w:rsid w:val="00F54582"/>
    <w:rsid w:val="00F54A3F"/>
    <w:rsid w:val="00F61884"/>
    <w:rsid w:val="00F627EF"/>
    <w:rsid w:val="00F669CB"/>
    <w:rsid w:val="00F66E0E"/>
    <w:rsid w:val="00F721C4"/>
    <w:rsid w:val="00F722C2"/>
    <w:rsid w:val="00F7296A"/>
    <w:rsid w:val="00F86999"/>
    <w:rsid w:val="00F91E96"/>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19D2BB0B-EC6D-41DA-9942-F258998B8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36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122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F0AFE"/>
    <w:rPr>
      <w:rFonts w:ascii="Tahoma" w:hAnsi="Tahoma" w:cs="Tahoma"/>
      <w:sz w:val="16"/>
      <w:szCs w:val="16"/>
    </w:rPr>
  </w:style>
  <w:style w:type="character" w:customStyle="1" w:styleId="BalloonTextChar">
    <w:name w:val="Balloon Text Char"/>
    <w:basedOn w:val="DefaultParagraphFont"/>
    <w:link w:val="BalloonText"/>
    <w:uiPriority w:val="99"/>
    <w:semiHidden/>
    <w:rsid w:val="007F0AFE"/>
    <w:rPr>
      <w:rFonts w:ascii="Tahoma" w:hAnsi="Tahoma" w:cs="Tahoma"/>
      <w:sz w:val="16"/>
      <w:szCs w:val="16"/>
    </w:rPr>
  </w:style>
  <w:style w:type="character" w:customStyle="1" w:styleId="Heading1Char">
    <w:name w:val="Heading 1 Char"/>
    <w:basedOn w:val="DefaultParagraphFont"/>
    <w:link w:val="Heading1"/>
    <w:uiPriority w:val="9"/>
    <w:rsid w:val="00336C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25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25-12.docx" TargetMode="External"/><Relationship Id="rId13" Type="http://schemas.openxmlformats.org/officeDocument/2006/relationships/hyperlink" Target="file:///h:\sj%20archive\2012\04-27-12.docx" TargetMode="External"/><Relationship Id="rId18" Type="http://schemas.openxmlformats.org/officeDocument/2006/relationships/hyperlink" Target="file:///h:\hj%20archive\2012\05-30-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429_20110128.docx" TargetMode="External"/><Relationship Id="rId7" Type="http://schemas.openxmlformats.org/officeDocument/2006/relationships/hyperlink" Target="file:///h:\sj%20archive\2011\01-25-11.docx" TargetMode="External"/><Relationship Id="rId12" Type="http://schemas.openxmlformats.org/officeDocument/2006/relationships/hyperlink" Target="file:///h:\sj%20archive\2012\04-26-12.docx" TargetMode="External"/><Relationship Id="rId17" Type="http://schemas.openxmlformats.org/officeDocument/2006/relationships/hyperlink" Target="file:///h:\hj%20archive\2012\05-30-12.docx" TargetMode="External"/><Relationship Id="rId25" Type="http://schemas.openxmlformats.org/officeDocument/2006/relationships/hyperlink" Target="file:///p:\pprever\2011-12\429_20120524.docx" TargetMode="External"/><Relationship Id="rId2" Type="http://schemas.openxmlformats.org/officeDocument/2006/relationships/settings" Target="settings.xml"/><Relationship Id="rId16" Type="http://schemas.openxmlformats.org/officeDocument/2006/relationships/hyperlink" Target="file:///h:\hj%20archive\2012\05-24-12.docx" TargetMode="External"/><Relationship Id="rId20" Type="http://schemas.openxmlformats.org/officeDocument/2006/relationships/hyperlink" Target="file:///p:\pprever\2011-12\429_20110125.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25-11.docx" TargetMode="External"/><Relationship Id="rId11" Type="http://schemas.openxmlformats.org/officeDocument/2006/relationships/hyperlink" Target="file:///h:\sj%20archive\2012\04-26-12.docx" TargetMode="External"/><Relationship Id="rId24" Type="http://schemas.openxmlformats.org/officeDocument/2006/relationships/hyperlink" Target="file:///p:\pprever\2011-12\429_..docx" TargetMode="External"/><Relationship Id="rId5" Type="http://schemas.openxmlformats.org/officeDocument/2006/relationships/endnotes" Target="endnotes.xml"/><Relationship Id="rId15" Type="http://schemas.openxmlformats.org/officeDocument/2006/relationships/hyperlink" Target="file:///h:\hj%20archive\2012\05-01-12.docx" TargetMode="External"/><Relationship Id="rId23" Type="http://schemas.openxmlformats.org/officeDocument/2006/relationships/hyperlink" Target="file:///p:\pprever\2011-12\429_20120426.docx" TargetMode="External"/><Relationship Id="rId28" Type="http://schemas.openxmlformats.org/officeDocument/2006/relationships/fontTable" Target="fontTable.xml"/><Relationship Id="rId10" Type="http://schemas.openxmlformats.org/officeDocument/2006/relationships/hyperlink" Target="file:///h:\sj%20archive\2012\04-26-12.docx" TargetMode="External"/><Relationship Id="rId19" Type="http://schemas.openxmlformats.org/officeDocument/2006/relationships/hyperlink" Target="file:///h:\hj%20archive\2012\05-31-12.docx" TargetMode="External"/><Relationship Id="rId4" Type="http://schemas.openxmlformats.org/officeDocument/2006/relationships/footnotes" Target="footnotes.xml"/><Relationship Id="rId9" Type="http://schemas.openxmlformats.org/officeDocument/2006/relationships/hyperlink" Target="file:///h:\sj%20archive\2012\04-26-12.docx" TargetMode="External"/><Relationship Id="rId14" Type="http://schemas.openxmlformats.org/officeDocument/2006/relationships/hyperlink" Target="file:///h:\hj%20archive\2012\05-01-12.docx" TargetMode="External"/><Relationship Id="rId22" Type="http://schemas.openxmlformats.org/officeDocument/2006/relationships/hyperlink" Target="file:///p:\pprever\2011-12\429_201204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3953</Words>
  <Characters>19950</Characters>
  <Application>Microsoft Office Word</Application>
  <DocSecurity>0</DocSecurity>
  <Lines>441</Lines>
  <Paragraphs>119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429: Uniform Principal and Income Act - South Carolina Legislature Online</dc:title>
  <dc:subject/>
  <dc:creator>GloriaShackelford</dc:creator>
  <cp:keywords/>
  <dc:description/>
  <cp:lastModifiedBy>N Cumfer</cp:lastModifiedBy>
  <cp:revision>2</cp:revision>
  <cp:lastPrinted>2012-06-04T15:10:00Z</cp:lastPrinted>
  <dcterms:created xsi:type="dcterms:W3CDTF">2014-11-21T20:40:00Z</dcterms:created>
  <dcterms:modified xsi:type="dcterms:W3CDTF">2014-11-21T20:40:00Z</dcterms:modified>
</cp:coreProperties>
</file>