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C29" w:rsidRDefault="00624C29" w:rsidP="00624C29">
      <w:pPr>
        <w:widowControl w:val="0"/>
        <w:jc w:val="center"/>
      </w:pPr>
      <w:bookmarkStart w:id="0" w:name="_GoBack"/>
      <w:bookmarkEnd w:id="0"/>
      <w:r w:rsidRPr="00624C29">
        <w:rPr>
          <w:b/>
        </w:rPr>
        <w:t>South Carolina General Assembly</w:t>
      </w:r>
    </w:p>
    <w:p w:rsidR="00624C29" w:rsidRDefault="00624C29" w:rsidP="00624C29">
      <w:pPr>
        <w:widowControl w:val="0"/>
        <w:jc w:val="center"/>
      </w:pPr>
      <w:r>
        <w:t>119th Session, 2011-2012</w:t>
      </w:r>
    </w:p>
    <w:p w:rsidR="00624C29" w:rsidRDefault="00624C29" w:rsidP="00624C29">
      <w:pPr>
        <w:widowControl w:val="0"/>
        <w:jc w:val="left"/>
      </w:pPr>
    </w:p>
    <w:p w:rsidR="00624C29" w:rsidRDefault="00624C29" w:rsidP="00624C29">
      <w:pPr>
        <w:widowControl w:val="0"/>
        <w:jc w:val="left"/>
        <w:rPr>
          <w:b/>
        </w:rPr>
      </w:pPr>
      <w:r w:rsidRPr="00624C29">
        <w:rPr>
          <w:b/>
        </w:rPr>
        <w:t>H. 4337</w:t>
      </w:r>
    </w:p>
    <w:p w:rsidR="00624C29" w:rsidRDefault="00624C29" w:rsidP="00624C29">
      <w:pPr>
        <w:widowControl w:val="0"/>
        <w:jc w:val="left"/>
        <w:rPr>
          <w:b/>
        </w:rPr>
      </w:pPr>
    </w:p>
    <w:p w:rsidR="00624C29" w:rsidRDefault="00624C29" w:rsidP="00624C29">
      <w:pPr>
        <w:widowControl w:val="0"/>
        <w:jc w:val="left"/>
      </w:pPr>
      <w:r w:rsidRPr="00624C29">
        <w:rPr>
          <w:b/>
        </w:rPr>
        <w:t>STATUS INFORMATION</w:t>
      </w:r>
    </w:p>
    <w:p w:rsidR="00624C29" w:rsidRDefault="00624C29" w:rsidP="00624C29">
      <w:pPr>
        <w:widowControl w:val="0"/>
        <w:jc w:val="left"/>
      </w:pPr>
    </w:p>
    <w:p w:rsidR="00624C29" w:rsidRDefault="00624C29" w:rsidP="00624C29">
      <w:pPr>
        <w:widowControl w:val="0"/>
        <w:jc w:val="left"/>
      </w:pPr>
      <w:r>
        <w:t>General Bill</w:t>
      </w:r>
    </w:p>
    <w:p w:rsidR="00624C29" w:rsidRDefault="00624C29" w:rsidP="00624C29">
      <w:pPr>
        <w:widowControl w:val="0"/>
        <w:jc w:val="left"/>
      </w:pPr>
      <w:r>
        <w:t>Sponsors: Rep. Edge</w:t>
      </w:r>
    </w:p>
    <w:p w:rsidR="00624C29" w:rsidRDefault="00624C29" w:rsidP="00624C29">
      <w:pPr>
        <w:widowControl w:val="0"/>
        <w:jc w:val="left"/>
      </w:pPr>
      <w:r>
        <w:t>Document Path: l:\council\bills\nbd\11777dg11.docx</w:t>
      </w:r>
    </w:p>
    <w:p w:rsidR="00624C29" w:rsidRDefault="00624C29" w:rsidP="00624C29">
      <w:pPr>
        <w:widowControl w:val="0"/>
        <w:jc w:val="left"/>
      </w:pPr>
    </w:p>
    <w:p w:rsidR="00624C29" w:rsidRDefault="00624C29" w:rsidP="00624C29">
      <w:pPr>
        <w:widowControl w:val="0"/>
        <w:jc w:val="left"/>
      </w:pPr>
      <w:r>
        <w:t>Introduced in the House on June 2, 2011</w:t>
      </w:r>
    </w:p>
    <w:p w:rsidR="00624C29" w:rsidRDefault="00624C29" w:rsidP="00624C29">
      <w:pPr>
        <w:widowControl w:val="0"/>
        <w:jc w:val="left"/>
      </w:pPr>
      <w:r>
        <w:t xml:space="preserve">Currently residing in the House Committee on </w:t>
      </w:r>
      <w:r w:rsidRPr="00624C29">
        <w:rPr>
          <w:b/>
        </w:rPr>
        <w:t>Ways and Means</w:t>
      </w:r>
    </w:p>
    <w:p w:rsidR="00624C29" w:rsidRDefault="00624C29" w:rsidP="00624C29">
      <w:pPr>
        <w:widowControl w:val="0"/>
        <w:jc w:val="left"/>
      </w:pPr>
    </w:p>
    <w:p w:rsidR="00624C29" w:rsidRDefault="00624C29" w:rsidP="00624C29">
      <w:pPr>
        <w:widowControl w:val="0"/>
        <w:jc w:val="left"/>
      </w:pPr>
      <w:r>
        <w:t xml:space="preserve">Summary: </w:t>
      </w:r>
      <w:r w:rsidR="009D3EF4">
        <w:t>Travel Agent Tax Fairness Act</w:t>
      </w:r>
    </w:p>
    <w:p w:rsidR="00624C29" w:rsidRDefault="00624C29" w:rsidP="00624C29">
      <w:pPr>
        <w:widowControl w:val="0"/>
        <w:jc w:val="left"/>
      </w:pPr>
    </w:p>
    <w:p w:rsidR="00624C29" w:rsidRDefault="00624C29" w:rsidP="00624C29">
      <w:pPr>
        <w:widowControl w:val="0"/>
        <w:jc w:val="left"/>
      </w:pPr>
    </w:p>
    <w:p w:rsidR="00624C29" w:rsidRDefault="00624C29" w:rsidP="00624C29">
      <w:pPr>
        <w:widowControl w:val="0"/>
        <w:tabs>
          <w:tab w:val="center" w:pos="590"/>
          <w:tab w:val="center" w:pos="1440"/>
          <w:tab w:val="left" w:pos="1872"/>
          <w:tab w:val="left" w:pos="9187"/>
        </w:tabs>
        <w:jc w:val="left"/>
      </w:pPr>
      <w:r w:rsidRPr="00624C29">
        <w:rPr>
          <w:b/>
        </w:rPr>
        <w:t>HISTORY OF LEGISLATIVE ACTIONS</w:t>
      </w:r>
    </w:p>
    <w:p w:rsidR="00624C29" w:rsidRDefault="00624C29" w:rsidP="00624C29">
      <w:pPr>
        <w:widowControl w:val="0"/>
        <w:tabs>
          <w:tab w:val="center" w:pos="590"/>
          <w:tab w:val="center" w:pos="1440"/>
          <w:tab w:val="left" w:pos="1872"/>
          <w:tab w:val="left" w:pos="9187"/>
        </w:tabs>
        <w:jc w:val="left"/>
      </w:pPr>
    </w:p>
    <w:p w:rsidR="00624C29" w:rsidRPr="00624C29" w:rsidRDefault="00624C29" w:rsidP="00624C29">
      <w:pPr>
        <w:widowControl w:val="0"/>
        <w:tabs>
          <w:tab w:val="center" w:pos="590"/>
          <w:tab w:val="center" w:pos="1440"/>
          <w:tab w:val="left" w:pos="1872"/>
          <w:tab w:val="left" w:pos="9187"/>
        </w:tabs>
        <w:jc w:val="left"/>
      </w:pPr>
      <w:r w:rsidRPr="00624C29">
        <w:rPr>
          <w:u w:val="single"/>
        </w:rPr>
        <w:tab/>
        <w:t>Date</w:t>
      </w:r>
      <w:r w:rsidRPr="00624C29">
        <w:rPr>
          <w:u w:val="single"/>
        </w:rPr>
        <w:tab/>
        <w:t>Body</w:t>
      </w:r>
      <w:r w:rsidRPr="00624C29">
        <w:rPr>
          <w:u w:val="single"/>
        </w:rPr>
        <w:tab/>
        <w:t>Action Description with journal page number</w:t>
      </w:r>
      <w:r w:rsidRPr="00624C29">
        <w:rPr>
          <w:u w:val="single"/>
        </w:rPr>
        <w:tab/>
      </w:r>
    </w:p>
    <w:p w:rsidR="00A23757" w:rsidRDefault="00A23757" w:rsidP="00A23757">
      <w:pPr>
        <w:widowControl w:val="0"/>
        <w:tabs>
          <w:tab w:val="right" w:pos="1008"/>
          <w:tab w:val="left" w:pos="1152"/>
          <w:tab w:val="left" w:pos="1872"/>
          <w:tab w:val="left" w:pos="9187"/>
        </w:tabs>
        <w:ind w:left="2088" w:hanging="2088"/>
        <w:jc w:val="left"/>
      </w:pPr>
      <w:r>
        <w:tab/>
        <w:t>6/2/2011</w:t>
      </w:r>
      <w:r>
        <w:tab/>
        <w:t>House</w:t>
      </w:r>
      <w:r>
        <w:tab/>
      </w:r>
      <w:r w:rsidRPr="00640407">
        <w:t>Introduced and read first time (</w:t>
      </w:r>
      <w:hyperlink r:id="rId7" w:history="1">
        <w:r w:rsidRPr="00640407">
          <w:rPr>
            <w:rStyle w:val="Hyperlink"/>
          </w:rPr>
          <w:t>House Journal</w:t>
        </w:r>
        <w:r w:rsidRPr="00640407">
          <w:rPr>
            <w:rStyle w:val="Hyperlink"/>
          </w:rPr>
          <w:noBreakHyphen/>
          <w:t>page 8</w:t>
        </w:r>
      </w:hyperlink>
      <w:r w:rsidRPr="00640407">
        <w:t>)</w:t>
      </w:r>
    </w:p>
    <w:p w:rsidR="00A23757" w:rsidRDefault="00A23757" w:rsidP="00A23757">
      <w:pPr>
        <w:widowControl w:val="0"/>
        <w:tabs>
          <w:tab w:val="right" w:pos="1008"/>
          <w:tab w:val="left" w:pos="1152"/>
          <w:tab w:val="left" w:pos="1872"/>
          <w:tab w:val="left" w:pos="9187"/>
        </w:tabs>
        <w:ind w:left="2088" w:hanging="2088"/>
        <w:jc w:val="left"/>
      </w:pPr>
      <w:r>
        <w:tab/>
        <w:t>6/2/2011</w:t>
      </w:r>
      <w:r>
        <w:tab/>
        <w:t>House</w:t>
      </w:r>
      <w:r>
        <w:tab/>
      </w:r>
      <w:r w:rsidRPr="00640407">
        <w:t>Referred</w:t>
      </w:r>
      <w:r>
        <w:t xml:space="preserve"> to Committee on </w:t>
      </w:r>
      <w:r w:rsidRPr="00640407">
        <w:rPr>
          <w:b/>
        </w:rPr>
        <w:t>Ways and Means</w:t>
      </w:r>
      <w:r>
        <w:t xml:space="preserve"> </w:t>
      </w:r>
      <w:r w:rsidRPr="00640407">
        <w:t>(</w:t>
      </w:r>
      <w:hyperlink r:id="rId8" w:history="1">
        <w:r w:rsidRPr="00640407">
          <w:rPr>
            <w:rStyle w:val="Hyperlink"/>
          </w:rPr>
          <w:t>House Journal</w:t>
        </w:r>
        <w:r w:rsidRPr="00640407">
          <w:rPr>
            <w:rStyle w:val="Hyperlink"/>
          </w:rPr>
          <w:noBreakHyphen/>
          <w:t>page 8</w:t>
        </w:r>
      </w:hyperlink>
      <w:r w:rsidRPr="00640407">
        <w:t>)</w:t>
      </w:r>
    </w:p>
    <w:p w:rsidR="00A23757" w:rsidRDefault="00A23757" w:rsidP="00A23757">
      <w:pPr>
        <w:widowControl w:val="0"/>
        <w:tabs>
          <w:tab w:val="right" w:pos="1008"/>
          <w:tab w:val="left" w:pos="1152"/>
          <w:tab w:val="left" w:pos="1872"/>
          <w:tab w:val="left" w:pos="9187"/>
        </w:tabs>
        <w:ind w:left="2088" w:hanging="2088"/>
        <w:jc w:val="left"/>
      </w:pPr>
    </w:p>
    <w:p w:rsidR="00624C29" w:rsidRPr="00624C29" w:rsidRDefault="00624C29" w:rsidP="00624C29">
      <w:pPr>
        <w:widowControl w:val="0"/>
        <w:tabs>
          <w:tab w:val="right" w:pos="1008"/>
          <w:tab w:val="left" w:pos="1152"/>
          <w:tab w:val="left" w:pos="1872"/>
          <w:tab w:val="left" w:pos="9187"/>
        </w:tabs>
        <w:ind w:left="2088" w:hanging="2088"/>
        <w:jc w:val="left"/>
      </w:pPr>
    </w:p>
    <w:p w:rsidR="00624C29" w:rsidRDefault="00624C29" w:rsidP="00624C29">
      <w:pPr>
        <w:widowControl w:val="0"/>
        <w:jc w:val="left"/>
      </w:pPr>
      <w:r w:rsidRPr="00624C29">
        <w:rPr>
          <w:b/>
        </w:rPr>
        <w:t>VERSIONS OF THIS BILL</w:t>
      </w:r>
    </w:p>
    <w:p w:rsidR="00624C29" w:rsidRDefault="00624C29" w:rsidP="00624C29">
      <w:pPr>
        <w:widowControl w:val="0"/>
        <w:jc w:val="left"/>
      </w:pPr>
    </w:p>
    <w:p w:rsidR="00624C29" w:rsidRDefault="006A5B90" w:rsidP="00624C29">
      <w:pPr>
        <w:widowControl w:val="0"/>
        <w:jc w:val="left"/>
      </w:pPr>
      <w:hyperlink r:id="rId9" w:history="1">
        <w:r w:rsidR="00624C29">
          <w:rPr>
            <w:rStyle w:val="Hyperlink"/>
          </w:rPr>
          <w:t>6/2/2011</w:t>
        </w:r>
      </w:hyperlink>
    </w:p>
    <w:p w:rsidR="00624C29" w:rsidRDefault="00624C29" w:rsidP="00624C29"/>
    <w:p w:rsidR="00624C29" w:rsidRDefault="00624C29" w:rsidP="00624C29">
      <w:pPr>
        <w:sectPr w:rsidR="00624C29" w:rsidSect="00624C2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5D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E5C26" w:rsidRDefault="00EE5C26"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F7D94">
        <w:rPr>
          <w:color w:val="000000" w:themeColor="text1"/>
          <w:u w:color="000000" w:themeColor="text1"/>
        </w:rPr>
        <w:t>TO AMEND SECTION 12</w:t>
      </w:r>
      <w:r>
        <w:rPr>
          <w:color w:val="000000" w:themeColor="text1"/>
          <w:u w:color="000000" w:themeColor="text1"/>
        </w:rPr>
        <w:noBreakHyphen/>
      </w:r>
      <w:r w:rsidRPr="00DF7D94">
        <w:rPr>
          <w:color w:val="000000" w:themeColor="text1"/>
          <w:u w:color="000000" w:themeColor="text1"/>
        </w:rPr>
        <w:t>36</w:t>
      </w:r>
      <w:r>
        <w:rPr>
          <w:color w:val="000000" w:themeColor="text1"/>
          <w:u w:color="000000" w:themeColor="text1"/>
        </w:rPr>
        <w:noBreakHyphen/>
      </w:r>
      <w:r w:rsidRPr="00DF7D94">
        <w:rPr>
          <w:color w:val="000000" w:themeColor="text1"/>
          <w:u w:color="000000" w:themeColor="text1"/>
        </w:rPr>
        <w:t>920, AS AMENDED, CODE OF LAWS OF SOUTH CAROLINA, 1976, RELATING TO THE ACCOMMODATIONS TAX, SO AS TO PROVIDE THAT THE ACCOMMODATIONS TAX SHALL APPLY SOLELY TO AMOUNTS RECEIVED BY THE OPERATOR OF HOTEL, INN, TOURIST COURT, TOURIST CAMP, MOTEL, CAMPGROUND, RESIDENCE, OR ANY PLACE IN WHICH ROOMS, LODGINGS, OR SLEEPING ACCOMMODATIONS ARE FURNISHED TO TRANSIENTS FOR A CONSIDERATION.</w:t>
      </w:r>
    </w:p>
    <w:p w:rsidR="009E5DC1" w:rsidRDefault="009E5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5DC1" w:rsidRDefault="009E5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DC1" w:rsidRDefault="009E5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EE5C26" w:rsidRPr="00DF7D94">
        <w:rPr>
          <w:color w:val="000000" w:themeColor="text1"/>
          <w:u w:color="000000" w:themeColor="text1"/>
        </w:rPr>
        <w:t>This Act may be cited as the “Travel Agent Tax Fairness Act”</w:t>
      </w:r>
      <w:r w:rsidR="007D6199" w:rsidRPr="00DF7D94">
        <w:rPr>
          <w:color w:val="000000" w:themeColor="text1"/>
          <w:u w:color="000000" w:themeColor="text1"/>
        </w:rPr>
        <w:t>.</w:t>
      </w:r>
    </w:p>
    <w:p w:rsidR="00EE5C26" w:rsidRPr="00DF7D94" w:rsidRDefault="00EE5C26"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E5C26" w:rsidRPr="00DF7D94">
        <w:rPr>
          <w:color w:val="000000" w:themeColor="text1"/>
          <w:u w:color="000000" w:themeColor="text1"/>
        </w:rPr>
        <w:t>2.</w:t>
      </w:r>
      <w:r>
        <w:rPr>
          <w:color w:val="000000" w:themeColor="text1"/>
          <w:u w:color="000000" w:themeColor="text1"/>
        </w:rPr>
        <w:tab/>
      </w:r>
      <w:r w:rsidR="00EE5C26" w:rsidRPr="00DF7D94">
        <w:rPr>
          <w:color w:val="000000" w:themeColor="text1"/>
          <w:u w:color="000000" w:themeColor="text1"/>
        </w:rPr>
        <w:t>The General Assembly finds that:</w:t>
      </w: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C26" w:rsidRPr="00DF7D94">
        <w:rPr>
          <w:color w:val="000000" w:themeColor="text1"/>
          <w:u w:color="000000" w:themeColor="text1"/>
        </w:rPr>
        <w:t>(A)</w:t>
      </w:r>
      <w:r>
        <w:rPr>
          <w:color w:val="000000" w:themeColor="text1"/>
          <w:u w:color="000000" w:themeColor="text1"/>
        </w:rPr>
        <w:tab/>
      </w:r>
      <w:r w:rsidR="00EE5C26" w:rsidRPr="00DF7D94">
        <w:rPr>
          <w:color w:val="000000" w:themeColor="text1"/>
          <w:u w:color="000000" w:themeColor="text1"/>
        </w:rPr>
        <w:t>Travel agents and online travel companies provide valuable services to travelers, showing comparisons of rates and amenities offered by multiple, competing hotel operators.</w:t>
      </w: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E5C26" w:rsidRPr="00DF7D94">
        <w:rPr>
          <w:color w:val="000000" w:themeColor="text1"/>
          <w:u w:color="000000" w:themeColor="text1"/>
        </w:rPr>
        <w:t>These facilitation services are distinct from the provision of a room by the hotel where the traveler eventually stays.</w:t>
      </w: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C26" w:rsidRPr="00DF7D94">
        <w:rPr>
          <w:color w:val="000000" w:themeColor="text1"/>
          <w:u w:color="000000" w:themeColor="text1"/>
        </w:rPr>
        <w:t>(C)</w:t>
      </w:r>
      <w:r>
        <w:rPr>
          <w:color w:val="000000" w:themeColor="text1"/>
          <w:u w:color="000000" w:themeColor="text1"/>
        </w:rPr>
        <w:tab/>
      </w:r>
      <w:r w:rsidR="00EE5C26" w:rsidRPr="00DF7D94">
        <w:rPr>
          <w:color w:val="000000" w:themeColor="text1"/>
          <w:u w:color="000000" w:themeColor="text1"/>
        </w:rPr>
        <w:t>Travelers rely on travel agents and online travel companies to research, compare, and book reservations.</w:t>
      </w: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r>
      <w:r w:rsidR="00EE5C26" w:rsidRPr="00DF7D94">
        <w:rPr>
          <w:color w:val="000000" w:themeColor="text1"/>
          <w:u w:color="000000" w:themeColor="text1"/>
        </w:rPr>
        <w:t>Hotel occupancy taxes should not be imposed on services provided by travel agents and online travel companies.</w:t>
      </w:r>
    </w:p>
    <w:p w:rsidR="00EE5C26" w:rsidRPr="00DF7D94" w:rsidRDefault="00EE5C26"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EE5C26" w:rsidRPr="00DF7D94">
        <w:rPr>
          <w:color w:val="000000" w:themeColor="text1"/>
          <w:u w:color="000000" w:themeColor="text1"/>
        </w:rPr>
        <w:t>Section 12</w:t>
      </w:r>
      <w:r w:rsidR="00EE5C26">
        <w:rPr>
          <w:color w:val="000000" w:themeColor="text1"/>
          <w:u w:color="000000" w:themeColor="text1"/>
        </w:rPr>
        <w:noBreakHyphen/>
      </w:r>
      <w:r w:rsidR="00EE5C26" w:rsidRPr="00DF7D94">
        <w:rPr>
          <w:color w:val="000000" w:themeColor="text1"/>
          <w:u w:color="000000" w:themeColor="text1"/>
        </w:rPr>
        <w:t>36</w:t>
      </w:r>
      <w:r w:rsidR="00EE5C26">
        <w:rPr>
          <w:color w:val="000000" w:themeColor="text1"/>
          <w:u w:color="000000" w:themeColor="text1"/>
        </w:rPr>
        <w:noBreakHyphen/>
      </w:r>
      <w:r w:rsidR="00EE5C26" w:rsidRPr="00DF7D94">
        <w:rPr>
          <w:color w:val="000000" w:themeColor="text1"/>
          <w:u w:color="000000" w:themeColor="text1"/>
        </w:rPr>
        <w:t xml:space="preserve">920 of the 1976 Code, as last amended by Act 56 of 2005, is further amended by adding an appropriately </w:t>
      </w:r>
      <w:r w:rsidR="007D6199">
        <w:rPr>
          <w:color w:val="000000" w:themeColor="text1"/>
          <w:u w:color="000000" w:themeColor="text1"/>
        </w:rPr>
        <w:t>lettered</w:t>
      </w:r>
      <w:r w:rsidR="00EE5C26" w:rsidRPr="00DF7D94">
        <w:rPr>
          <w:color w:val="000000" w:themeColor="text1"/>
          <w:u w:color="000000" w:themeColor="text1"/>
        </w:rPr>
        <w:t xml:space="preserve"> subsection at the end to read:</w:t>
      </w:r>
    </w:p>
    <w:p w:rsidR="00EE5C26" w:rsidRPr="00DF7D94" w:rsidRDefault="00EE5C26"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C26" w:rsidRPr="00DF7D94">
        <w:rPr>
          <w:color w:val="000000" w:themeColor="text1"/>
          <w:u w:color="000000" w:themeColor="text1"/>
        </w:rPr>
        <w:t>“(  )(1)</w:t>
      </w:r>
      <w:r>
        <w:rPr>
          <w:color w:val="000000" w:themeColor="text1"/>
          <w:u w:color="000000" w:themeColor="text1"/>
        </w:rPr>
        <w:t xml:space="preserve"> </w:t>
      </w:r>
      <w:r>
        <w:rPr>
          <w:color w:val="000000" w:themeColor="text1"/>
          <w:u w:color="000000" w:themeColor="text1"/>
        </w:rPr>
        <w:tab/>
      </w:r>
      <w:r w:rsidR="00EE5C26" w:rsidRPr="00DF7D94">
        <w:rPr>
          <w:color w:val="000000" w:themeColor="text1"/>
          <w:u w:color="000000" w:themeColor="text1"/>
        </w:rPr>
        <w:t>Notwithstanding any other provision of law, the tax imposed by subsection (A) shall apply solely to amounts received by the operator of a hotel, inn, tourist court, tourist camp, motel, campground, residence, or any place in which rooms, lodgings, or sleeping accommodations are furnished to transients for a consideration.</w:t>
      </w:r>
    </w:p>
    <w:p w:rsidR="00EE5C26" w:rsidRPr="00DF7D94"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E5C26" w:rsidRPr="00DF7D94">
        <w:rPr>
          <w:color w:val="000000" w:themeColor="text1"/>
          <w:u w:color="000000" w:themeColor="text1"/>
        </w:rPr>
        <w:t>(2)</w:t>
      </w:r>
      <w:r>
        <w:rPr>
          <w:color w:val="000000" w:themeColor="text1"/>
          <w:u w:color="000000" w:themeColor="text1"/>
        </w:rPr>
        <w:tab/>
      </w:r>
      <w:r w:rsidR="00EE5C26" w:rsidRPr="00DF7D94">
        <w:rPr>
          <w:color w:val="000000" w:themeColor="text1"/>
          <w:u w:color="000000" w:themeColor="text1"/>
        </w:rPr>
        <w:t>Under no circumstances shall a travel agent or intermediary be deemed an operator of a hotel, inn, tourist court, tourist camp, motel, campground, residence, or any place in which rooms, lodgings, or sleeping accommodations are furnished to transients for a consideration unless the travel agent or intermediary actually operates the facility.</w:t>
      </w:r>
      <w:r>
        <w:rPr>
          <w:color w:val="000000" w:themeColor="text1"/>
          <w:u w:color="000000" w:themeColor="text1"/>
        </w:rPr>
        <w:t>”</w:t>
      </w:r>
    </w:p>
    <w:p w:rsidR="00EE5C26" w:rsidRPr="00DF7D94" w:rsidRDefault="00EE5C26"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62C1A" w:rsidP="00EE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EE5C26" w:rsidRPr="00DF7D94">
        <w:rPr>
          <w:color w:val="000000" w:themeColor="text1"/>
          <w:u w:color="000000" w:themeColor="text1"/>
        </w:rPr>
        <w:t>4</w:t>
      </w:r>
      <w:r w:rsidR="009E5DC1">
        <w:t>.</w:t>
      </w:r>
      <w:r w:rsidR="009E5DC1">
        <w:tab/>
        <w:t>This act takes effect upon approval by the Governor.</w:t>
      </w:r>
    </w:p>
    <w:p w:rsidR="00C078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78EB" w:rsidRDefault="00C078EB" w:rsidP="00624C29">
      <w:pPr>
        <w:suppressAutoHyphens/>
      </w:pPr>
    </w:p>
    <w:sectPr w:rsidR="00C078EB" w:rsidSect="00624C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DC1" w:rsidRDefault="009E5DC1" w:rsidP="009F0C77">
      <w:r>
        <w:separator/>
      </w:r>
    </w:p>
  </w:endnote>
  <w:endnote w:type="continuationSeparator" w:id="0">
    <w:p w:rsidR="009E5DC1" w:rsidRDefault="009E5D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B528EC-015B-4457-8022-C855430C449B}"/>
    <w:embedBold r:id="rId2" w:fontKey="{7AE2FBE4-D75D-4495-9CCC-EE7976446091}"/>
  </w:font>
  <w:font w:name="Calibri">
    <w:panose1 w:val="020F0502020204030204"/>
    <w:charset w:val="00"/>
    <w:family w:val="swiss"/>
    <w:pitch w:val="variable"/>
    <w:sig w:usb0="E10002FF" w:usb1="4000ACFF" w:usb2="00000009" w:usb3="00000000" w:csb0="0000019F" w:csb1="00000000"/>
    <w:embedRegular r:id="rId3" w:fontKey="{4A877597-5965-4807-A0E1-A20AE9DF61B0}"/>
  </w:font>
  <w:font w:name="Tahoma">
    <w:panose1 w:val="020B0604030504040204"/>
    <w:charset w:val="00"/>
    <w:family w:val="swiss"/>
    <w:pitch w:val="variable"/>
    <w:sig w:usb0="21002A87" w:usb1="80000000" w:usb2="00000008" w:usb3="00000000" w:csb0="000101FF" w:csb1="00000000"/>
    <w:embedRegular r:id="rId4" w:fontKey="{736B18C0-0472-47C1-A3E8-8AA397AB83C8}"/>
  </w:font>
  <w:font w:name="Cambria">
    <w:panose1 w:val="02040503050406030204"/>
    <w:charset w:val="00"/>
    <w:family w:val="roman"/>
    <w:pitch w:val="variable"/>
    <w:sig w:usb0="E00002FF" w:usb1="400004FF" w:usb2="00000000" w:usb3="00000000" w:csb0="0000019F" w:csb1="00000000"/>
    <w:embedRegular r:id="rId5" w:fontKey="{DC7D7649-581E-421E-857B-1B509E2BE7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C29" w:rsidRPr="00C078EB" w:rsidRDefault="00624C29" w:rsidP="00C078EB">
    <w:pPr>
      <w:pStyle w:val="Footer"/>
      <w:tabs>
        <w:tab w:val="clear" w:pos="4680"/>
        <w:tab w:val="clear" w:pos="9360"/>
        <w:tab w:val="center" w:pos="2995"/>
      </w:tabs>
      <w:spacing w:before="120"/>
    </w:pPr>
    <w:r>
      <w:t>[4337]</w:t>
    </w:r>
    <w:r>
      <w:tab/>
    </w:r>
    <w:r w:rsidR="006A5B90">
      <w:fldChar w:fldCharType="begin"/>
    </w:r>
    <w:r w:rsidR="006A5B90">
      <w:instrText xml:space="preserve"> PAGE  \* MERGEFORMAT </w:instrText>
    </w:r>
    <w:r w:rsidR="006A5B90">
      <w:fldChar w:fldCharType="separate"/>
    </w:r>
    <w:r w:rsidR="006A5B90">
      <w:rPr>
        <w:noProof/>
      </w:rPr>
      <w:t>1</w:t>
    </w:r>
    <w:r w:rsidR="006A5B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DC1" w:rsidRDefault="009E5DC1" w:rsidP="009F0C77">
      <w:r>
        <w:separator/>
      </w:r>
    </w:p>
  </w:footnote>
  <w:footnote w:type="continuationSeparator" w:id="0">
    <w:p w:rsidR="009E5DC1" w:rsidRDefault="009E5D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77DG11"/>
    <w:docVar w:name="CoverBillType" w:val="b"/>
    <w:docVar w:name="docpath" w:val="L:\Council\bills\NBD\11777DG11.DOCX"/>
    <w:docVar w:name="dvBillNumber" w:val="4337"/>
    <w:docVar w:name="dvBillNumberPrefix" w:val="H. "/>
    <w:docVar w:name="dvOriginalBody" w:val="House"/>
    <w:docVar w:name="dvSteno" w:val="NBD"/>
    <w:docVar w:name="NameofBody" w:val="h"/>
    <w:docVar w:name="vgroup2" w:val="Council"/>
  </w:docVars>
  <w:rsids>
    <w:rsidRoot w:val="00786C63"/>
    <w:rsid w:val="00011869"/>
    <w:rsid w:val="000E1785"/>
    <w:rsid w:val="000F40FA"/>
    <w:rsid w:val="0010776B"/>
    <w:rsid w:val="001104CE"/>
    <w:rsid w:val="00133E66"/>
    <w:rsid w:val="001435A3"/>
    <w:rsid w:val="00143D64"/>
    <w:rsid w:val="001A6F5D"/>
    <w:rsid w:val="001D08F2"/>
    <w:rsid w:val="001D525B"/>
    <w:rsid w:val="001D7F4F"/>
    <w:rsid w:val="002314D6"/>
    <w:rsid w:val="002321B6"/>
    <w:rsid w:val="00250967"/>
    <w:rsid w:val="002543C8"/>
    <w:rsid w:val="00284AAE"/>
    <w:rsid w:val="00287354"/>
    <w:rsid w:val="00293A41"/>
    <w:rsid w:val="002B518D"/>
    <w:rsid w:val="002E5912"/>
    <w:rsid w:val="002F3288"/>
    <w:rsid w:val="00321236"/>
    <w:rsid w:val="00325348"/>
    <w:rsid w:val="0032732C"/>
    <w:rsid w:val="00336AD0"/>
    <w:rsid w:val="0037079A"/>
    <w:rsid w:val="003C764E"/>
    <w:rsid w:val="003D01E8"/>
    <w:rsid w:val="003D1FE3"/>
    <w:rsid w:val="003E5288"/>
    <w:rsid w:val="003F6D79"/>
    <w:rsid w:val="0041760A"/>
    <w:rsid w:val="00417C01"/>
    <w:rsid w:val="004809EE"/>
    <w:rsid w:val="004E7D54"/>
    <w:rsid w:val="005273C6"/>
    <w:rsid w:val="00530A69"/>
    <w:rsid w:val="00545593"/>
    <w:rsid w:val="00577C6C"/>
    <w:rsid w:val="005C2FE2"/>
    <w:rsid w:val="005E2BC9"/>
    <w:rsid w:val="00605102"/>
    <w:rsid w:val="0061739D"/>
    <w:rsid w:val="006215AA"/>
    <w:rsid w:val="00624C29"/>
    <w:rsid w:val="006913C9"/>
    <w:rsid w:val="0069470D"/>
    <w:rsid w:val="006A5B90"/>
    <w:rsid w:val="00734F00"/>
    <w:rsid w:val="007741D1"/>
    <w:rsid w:val="00786C63"/>
    <w:rsid w:val="007A70AE"/>
    <w:rsid w:val="007D6199"/>
    <w:rsid w:val="008362E8"/>
    <w:rsid w:val="008A1768"/>
    <w:rsid w:val="008F4429"/>
    <w:rsid w:val="0094021A"/>
    <w:rsid w:val="009758F4"/>
    <w:rsid w:val="009C6A0B"/>
    <w:rsid w:val="009D3EF4"/>
    <w:rsid w:val="009E5DC1"/>
    <w:rsid w:val="009F0C77"/>
    <w:rsid w:val="009F4DD1"/>
    <w:rsid w:val="00A23757"/>
    <w:rsid w:val="00A41684"/>
    <w:rsid w:val="00A62C1A"/>
    <w:rsid w:val="00A64E80"/>
    <w:rsid w:val="00A67F55"/>
    <w:rsid w:val="00A72BCD"/>
    <w:rsid w:val="00A741D9"/>
    <w:rsid w:val="00A76A35"/>
    <w:rsid w:val="00A833AB"/>
    <w:rsid w:val="00A9741D"/>
    <w:rsid w:val="00AD4B17"/>
    <w:rsid w:val="00B313BA"/>
    <w:rsid w:val="00B412D4"/>
    <w:rsid w:val="00B95654"/>
    <w:rsid w:val="00BE3C22"/>
    <w:rsid w:val="00C0345E"/>
    <w:rsid w:val="00C078EB"/>
    <w:rsid w:val="00C3483A"/>
    <w:rsid w:val="00C74E9D"/>
    <w:rsid w:val="00C82FD3"/>
    <w:rsid w:val="00C92819"/>
    <w:rsid w:val="00CC6B7B"/>
    <w:rsid w:val="00CD2089"/>
    <w:rsid w:val="00D36BC9"/>
    <w:rsid w:val="00D73A67"/>
    <w:rsid w:val="00D970A9"/>
    <w:rsid w:val="00DF3845"/>
    <w:rsid w:val="00E20367"/>
    <w:rsid w:val="00E41911"/>
    <w:rsid w:val="00E43187"/>
    <w:rsid w:val="00E92EEF"/>
    <w:rsid w:val="00EE5C26"/>
    <w:rsid w:val="00F24442"/>
    <w:rsid w:val="00F50AE3"/>
    <w:rsid w:val="00F56D8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44FEDF-F086-4FDE-8848-5C44F4E38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2C1A"/>
    <w:rPr>
      <w:rFonts w:ascii="Tahoma" w:hAnsi="Tahoma" w:cs="Tahoma"/>
      <w:sz w:val="16"/>
      <w:szCs w:val="16"/>
    </w:rPr>
  </w:style>
  <w:style w:type="character" w:customStyle="1" w:styleId="BalloonTextChar">
    <w:name w:val="Balloon Text Char"/>
    <w:basedOn w:val="DefaultParagraphFont"/>
    <w:link w:val="BalloonText"/>
    <w:uiPriority w:val="99"/>
    <w:semiHidden/>
    <w:rsid w:val="00A62C1A"/>
    <w:rPr>
      <w:rFonts w:ascii="Tahoma" w:eastAsia="Times New Roman" w:hAnsi="Tahoma" w:cs="Tahoma"/>
      <w:sz w:val="16"/>
      <w:szCs w:val="16"/>
    </w:rPr>
  </w:style>
  <w:style w:type="character" w:styleId="Hyperlink">
    <w:name w:val="Hyperlink"/>
    <w:basedOn w:val="DefaultParagraphFont"/>
    <w:uiPriority w:val="99"/>
    <w:unhideWhenUsed/>
    <w:rsid w:val="00624C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2-11.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37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95EC1-9273-451B-894C-C277F8C19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404</Words>
  <Characters>2213</Characters>
  <Application>Microsoft Office Word</Application>
  <DocSecurity>4</DocSecurity>
  <Lines>86</Lines>
  <Paragraphs>30</Paragraphs>
  <ScaleCrop>false</ScaleCrop>
  <Company> </Company>
  <LinksUpToDate>false</LinksUpToDate>
  <CharactersWithSpaces>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4337: Travel Agent Tax Fairness Act - South Carolina Legislature Online</dc:title>
  <dc:subject/>
  <dc:creator>NikiDowney</dc:creator>
  <cp:keywords/>
  <dc:description/>
  <cp:lastModifiedBy>N Cumfer</cp:lastModifiedBy>
  <cp:revision>2</cp:revision>
  <cp:lastPrinted>2011-06-01T15:17:00Z</cp:lastPrinted>
  <dcterms:created xsi:type="dcterms:W3CDTF">2014-11-24T14:19:00Z</dcterms:created>
  <dcterms:modified xsi:type="dcterms:W3CDTF">2014-11-24T14:19:00Z</dcterms:modified>
</cp:coreProperties>
</file>