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967" w:rsidRDefault="005A6967" w:rsidP="005A6967">
      <w:pPr>
        <w:widowControl w:val="0"/>
        <w:jc w:val="center"/>
      </w:pPr>
      <w:bookmarkStart w:id="0" w:name="_GoBack"/>
      <w:bookmarkEnd w:id="0"/>
      <w:r w:rsidRPr="005A6967">
        <w:rPr>
          <w:b/>
        </w:rPr>
        <w:t>South Carolina General Assembly</w:t>
      </w:r>
    </w:p>
    <w:p w:rsidR="005A6967" w:rsidRDefault="005A6967" w:rsidP="005A6967">
      <w:pPr>
        <w:widowControl w:val="0"/>
        <w:jc w:val="center"/>
      </w:pPr>
      <w:r>
        <w:t>119th Session, 2011-2012</w:t>
      </w:r>
    </w:p>
    <w:p w:rsidR="005A6967" w:rsidRDefault="005A6967" w:rsidP="005A6967">
      <w:pPr>
        <w:widowControl w:val="0"/>
        <w:jc w:val="left"/>
      </w:pPr>
    </w:p>
    <w:p w:rsidR="005A6967" w:rsidRDefault="005A6967" w:rsidP="005A6967">
      <w:pPr>
        <w:widowControl w:val="0"/>
        <w:jc w:val="left"/>
        <w:rPr>
          <w:b/>
        </w:rPr>
      </w:pPr>
      <w:r w:rsidRPr="005A6967">
        <w:rPr>
          <w:b/>
        </w:rPr>
        <w:t>H. 4920</w:t>
      </w:r>
    </w:p>
    <w:p w:rsidR="005A6967" w:rsidRDefault="005A6967" w:rsidP="005A6967">
      <w:pPr>
        <w:widowControl w:val="0"/>
        <w:jc w:val="left"/>
        <w:rPr>
          <w:b/>
        </w:rPr>
      </w:pPr>
    </w:p>
    <w:p w:rsidR="005A6967" w:rsidRDefault="005A6967" w:rsidP="005A6967">
      <w:pPr>
        <w:widowControl w:val="0"/>
        <w:jc w:val="left"/>
      </w:pPr>
      <w:r w:rsidRPr="005A6967">
        <w:rPr>
          <w:b/>
        </w:rPr>
        <w:t>STATUS INFORMATION</w:t>
      </w:r>
    </w:p>
    <w:p w:rsidR="005A6967" w:rsidRDefault="005A6967" w:rsidP="005A6967">
      <w:pPr>
        <w:widowControl w:val="0"/>
        <w:jc w:val="left"/>
      </w:pPr>
    </w:p>
    <w:p w:rsidR="005A6967" w:rsidRDefault="005A6967" w:rsidP="005A6967">
      <w:pPr>
        <w:widowControl w:val="0"/>
        <w:jc w:val="left"/>
      </w:pPr>
      <w:r>
        <w:t>General Bill</w:t>
      </w:r>
    </w:p>
    <w:p w:rsidR="005A6967" w:rsidRDefault="005A6967" w:rsidP="005A6967">
      <w:pPr>
        <w:widowControl w:val="0"/>
        <w:jc w:val="left"/>
      </w:pPr>
      <w:r>
        <w:t>Sponsors: Reps. McCoy, Harrell and Tallon</w:t>
      </w:r>
    </w:p>
    <w:p w:rsidR="005A6967" w:rsidRDefault="005A6967" w:rsidP="005A6967">
      <w:pPr>
        <w:widowControl w:val="0"/>
        <w:jc w:val="left"/>
      </w:pPr>
      <w:r>
        <w:t>Document Path: l:\council\bills\ms\7665ahb12.docx</w:t>
      </w:r>
    </w:p>
    <w:p w:rsidR="005A6967" w:rsidRDefault="005A6967" w:rsidP="005A6967">
      <w:pPr>
        <w:widowControl w:val="0"/>
        <w:jc w:val="left"/>
      </w:pPr>
    </w:p>
    <w:p w:rsidR="005A6967" w:rsidRDefault="005A6967" w:rsidP="005A6967">
      <w:pPr>
        <w:widowControl w:val="0"/>
        <w:jc w:val="left"/>
      </w:pPr>
      <w:r>
        <w:t>Introduced in the House on February 29, 2012</w:t>
      </w:r>
    </w:p>
    <w:p w:rsidR="005A6967" w:rsidRDefault="005A6967" w:rsidP="005A6967">
      <w:pPr>
        <w:widowControl w:val="0"/>
        <w:jc w:val="left"/>
      </w:pPr>
      <w:r>
        <w:t xml:space="preserve">Currently residing in the House Committee on </w:t>
      </w:r>
      <w:r w:rsidRPr="005A6967">
        <w:rPr>
          <w:b/>
        </w:rPr>
        <w:t>Judiciary</w:t>
      </w:r>
    </w:p>
    <w:p w:rsidR="005A6967" w:rsidRDefault="005A6967" w:rsidP="005A6967">
      <w:pPr>
        <w:widowControl w:val="0"/>
        <w:jc w:val="left"/>
      </w:pPr>
    </w:p>
    <w:p w:rsidR="005A6967" w:rsidRDefault="005A6967" w:rsidP="005A6967">
      <w:pPr>
        <w:widowControl w:val="0"/>
        <w:jc w:val="left"/>
      </w:pPr>
      <w:r>
        <w:t xml:space="preserve">Summary: </w:t>
      </w:r>
      <w:r w:rsidR="0060090A">
        <w:t>Assault and battery offenses</w:t>
      </w:r>
    </w:p>
    <w:p w:rsidR="005A6967" w:rsidRDefault="005A6967" w:rsidP="005A6967">
      <w:pPr>
        <w:widowControl w:val="0"/>
        <w:jc w:val="left"/>
      </w:pPr>
    </w:p>
    <w:p w:rsidR="005A6967" w:rsidRDefault="005A6967" w:rsidP="005A6967">
      <w:pPr>
        <w:widowControl w:val="0"/>
        <w:jc w:val="left"/>
      </w:pPr>
    </w:p>
    <w:p w:rsidR="005A6967" w:rsidRDefault="005A6967" w:rsidP="005A6967">
      <w:pPr>
        <w:widowControl w:val="0"/>
        <w:tabs>
          <w:tab w:val="center" w:pos="590"/>
          <w:tab w:val="center" w:pos="1440"/>
          <w:tab w:val="left" w:pos="1872"/>
          <w:tab w:val="left" w:pos="9187"/>
        </w:tabs>
        <w:jc w:val="left"/>
      </w:pPr>
      <w:r w:rsidRPr="005A6967">
        <w:rPr>
          <w:b/>
        </w:rPr>
        <w:t>HISTORY OF LEGISLATIVE ACTIONS</w:t>
      </w:r>
    </w:p>
    <w:p w:rsidR="005A6967" w:rsidRDefault="005A6967" w:rsidP="005A6967">
      <w:pPr>
        <w:widowControl w:val="0"/>
        <w:tabs>
          <w:tab w:val="center" w:pos="590"/>
          <w:tab w:val="center" w:pos="1440"/>
          <w:tab w:val="left" w:pos="1872"/>
          <w:tab w:val="left" w:pos="9187"/>
        </w:tabs>
        <w:jc w:val="left"/>
      </w:pPr>
    </w:p>
    <w:p w:rsidR="005A6967" w:rsidRPr="005A6967" w:rsidRDefault="005A6967" w:rsidP="005A6967">
      <w:pPr>
        <w:widowControl w:val="0"/>
        <w:tabs>
          <w:tab w:val="center" w:pos="590"/>
          <w:tab w:val="center" w:pos="1440"/>
          <w:tab w:val="left" w:pos="1872"/>
          <w:tab w:val="left" w:pos="9187"/>
        </w:tabs>
        <w:jc w:val="left"/>
      </w:pPr>
      <w:r w:rsidRPr="005A6967">
        <w:rPr>
          <w:u w:val="single"/>
        </w:rPr>
        <w:tab/>
        <w:t>Date</w:t>
      </w:r>
      <w:r w:rsidRPr="005A6967">
        <w:rPr>
          <w:u w:val="single"/>
        </w:rPr>
        <w:tab/>
        <w:t>Body</w:t>
      </w:r>
      <w:r w:rsidRPr="005A6967">
        <w:rPr>
          <w:u w:val="single"/>
        </w:rPr>
        <w:tab/>
        <w:t>Action Description with journal page number</w:t>
      </w:r>
      <w:r w:rsidRPr="005A6967">
        <w:rPr>
          <w:u w:val="single"/>
        </w:rPr>
        <w:tab/>
      </w:r>
    </w:p>
    <w:p w:rsidR="00003A3E" w:rsidRDefault="00003A3E" w:rsidP="00003A3E">
      <w:pPr>
        <w:widowControl w:val="0"/>
        <w:tabs>
          <w:tab w:val="right" w:pos="1008"/>
          <w:tab w:val="left" w:pos="1152"/>
          <w:tab w:val="left" w:pos="1872"/>
          <w:tab w:val="left" w:pos="9187"/>
        </w:tabs>
        <w:ind w:left="2088" w:hanging="2088"/>
        <w:jc w:val="left"/>
      </w:pPr>
      <w:r>
        <w:tab/>
        <w:t>2/29/2012</w:t>
      </w:r>
      <w:r>
        <w:tab/>
        <w:t>House</w:t>
      </w:r>
      <w:r>
        <w:tab/>
      </w:r>
      <w:r w:rsidRPr="00695D55">
        <w:t>Introduced and read first time (</w:t>
      </w:r>
      <w:hyperlink r:id="rId7" w:history="1">
        <w:r w:rsidRPr="00695D55">
          <w:rPr>
            <w:rStyle w:val="Hyperlink"/>
          </w:rPr>
          <w:t>House Journal</w:t>
        </w:r>
        <w:r w:rsidRPr="00695D55">
          <w:rPr>
            <w:rStyle w:val="Hyperlink"/>
          </w:rPr>
          <w:noBreakHyphen/>
          <w:t>page 115</w:t>
        </w:r>
      </w:hyperlink>
      <w:r w:rsidRPr="00695D55">
        <w:t>)</w:t>
      </w:r>
    </w:p>
    <w:p w:rsidR="00003A3E" w:rsidRDefault="00003A3E" w:rsidP="00003A3E">
      <w:pPr>
        <w:widowControl w:val="0"/>
        <w:tabs>
          <w:tab w:val="right" w:pos="1008"/>
          <w:tab w:val="left" w:pos="1152"/>
          <w:tab w:val="left" w:pos="1872"/>
          <w:tab w:val="left" w:pos="9187"/>
        </w:tabs>
        <w:ind w:left="2088" w:hanging="2088"/>
        <w:jc w:val="left"/>
      </w:pPr>
      <w:r>
        <w:tab/>
        <w:t>2/29/2012</w:t>
      </w:r>
      <w:r>
        <w:tab/>
        <w:t>House</w:t>
      </w:r>
      <w:r>
        <w:tab/>
      </w:r>
      <w:r w:rsidRPr="00695D55">
        <w:t xml:space="preserve">Referred to Committee on </w:t>
      </w:r>
      <w:r w:rsidRPr="00695D55">
        <w:rPr>
          <w:b/>
        </w:rPr>
        <w:t>Judiciary</w:t>
      </w:r>
      <w:r w:rsidRPr="00695D55">
        <w:t xml:space="preserve"> (</w:t>
      </w:r>
      <w:hyperlink r:id="rId8" w:history="1">
        <w:r w:rsidRPr="00695D55">
          <w:rPr>
            <w:rStyle w:val="Hyperlink"/>
          </w:rPr>
          <w:t>House Journal</w:t>
        </w:r>
        <w:r w:rsidRPr="00695D55">
          <w:rPr>
            <w:rStyle w:val="Hyperlink"/>
          </w:rPr>
          <w:noBreakHyphen/>
          <w:t>page 115</w:t>
        </w:r>
      </w:hyperlink>
      <w:r w:rsidRPr="00695D55">
        <w:t>)</w:t>
      </w:r>
    </w:p>
    <w:p w:rsidR="00003A3E" w:rsidRDefault="00003A3E" w:rsidP="00003A3E">
      <w:pPr>
        <w:widowControl w:val="0"/>
        <w:tabs>
          <w:tab w:val="right" w:pos="1008"/>
          <w:tab w:val="left" w:pos="1152"/>
          <w:tab w:val="left" w:pos="1872"/>
          <w:tab w:val="left" w:pos="9187"/>
        </w:tabs>
        <w:ind w:left="2088" w:hanging="2088"/>
        <w:jc w:val="left"/>
      </w:pPr>
    </w:p>
    <w:p w:rsidR="005A6967" w:rsidRPr="005A6967" w:rsidRDefault="005A6967" w:rsidP="005A6967">
      <w:pPr>
        <w:widowControl w:val="0"/>
        <w:tabs>
          <w:tab w:val="right" w:pos="1008"/>
          <w:tab w:val="left" w:pos="1152"/>
          <w:tab w:val="left" w:pos="1872"/>
          <w:tab w:val="left" w:pos="9187"/>
        </w:tabs>
        <w:ind w:left="2088" w:hanging="2088"/>
        <w:jc w:val="left"/>
      </w:pPr>
    </w:p>
    <w:p w:rsidR="005A6967" w:rsidRDefault="005A6967" w:rsidP="005A6967">
      <w:pPr>
        <w:widowControl w:val="0"/>
        <w:jc w:val="left"/>
      </w:pPr>
      <w:r w:rsidRPr="005A6967">
        <w:rPr>
          <w:b/>
        </w:rPr>
        <w:t>VERSIONS OF THIS BILL</w:t>
      </w:r>
    </w:p>
    <w:p w:rsidR="005A6967" w:rsidRDefault="005A6967" w:rsidP="005A6967">
      <w:pPr>
        <w:widowControl w:val="0"/>
        <w:jc w:val="left"/>
      </w:pPr>
    </w:p>
    <w:p w:rsidR="005A6967" w:rsidRDefault="00014D48" w:rsidP="005A6967">
      <w:pPr>
        <w:widowControl w:val="0"/>
        <w:jc w:val="left"/>
      </w:pPr>
      <w:hyperlink r:id="rId9" w:history="1">
        <w:r w:rsidR="005A6967">
          <w:rPr>
            <w:rStyle w:val="Hyperlink"/>
          </w:rPr>
          <w:t>2/29/2012</w:t>
        </w:r>
      </w:hyperlink>
    </w:p>
    <w:p w:rsidR="005A6967" w:rsidRDefault="005A6967" w:rsidP="005A6967"/>
    <w:p w:rsidR="005A6967" w:rsidRDefault="005A6967" w:rsidP="005A6967">
      <w:pPr>
        <w:sectPr w:rsidR="005A6967" w:rsidSect="005A6967">
          <w:pgSz w:w="12240" w:h="15840" w:code="1"/>
          <w:pgMar w:top="1080" w:right="1440" w:bottom="1080" w:left="1440" w:header="720" w:footer="720" w:gutter="0"/>
          <w:cols w:space="720"/>
          <w:noEndnote/>
          <w:docGrid w:linePitch="360"/>
        </w:sectPr>
      </w:pPr>
    </w:p>
    <w:p w:rsidR="00154ECB" w:rsidRDefault="00154ECB" w:rsidP="00154ECB">
      <w:pPr>
        <w:pStyle w:val="BillDots"/>
      </w:pPr>
    </w:p>
    <w:p w:rsidR="00154ECB" w:rsidRDefault="00154ECB" w:rsidP="00154ECB">
      <w:pPr>
        <w:pStyle w:val="Numbersforbill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0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05C"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7061EF">
        <w:noBreakHyphen/>
      </w:r>
      <w:r>
        <w:t>3</w:t>
      </w:r>
      <w:r w:rsidR="007061EF">
        <w:noBreakHyphen/>
      </w:r>
      <w:r>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bookmarkStart w:id="4" w:name="titleend"/>
      <w:bookmarkEnd w:id="4"/>
    </w:p>
    <w:p w:rsid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BF5">
        <w:t>Section 16</w:t>
      </w:r>
      <w:r w:rsidR="007061EF">
        <w:noBreakHyphen/>
      </w:r>
      <w:r w:rsidR="00E06BF5">
        <w:t>3</w:t>
      </w:r>
      <w:r w:rsidR="007061EF">
        <w:noBreakHyphen/>
      </w:r>
      <w:r w:rsidR="00E06BF5">
        <w:t>600 of the 1976 Code, as last amended by Act 39 of 2011, is further amended to read:</w:t>
      </w:r>
    </w:p>
    <w:p w:rsidR="00E06BF5" w:rsidRDefault="00E0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F5" w:rsidRPr="006A0C62" w:rsidRDefault="00EC2AC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6BF5">
        <w:t>“Section 16</w:t>
      </w:r>
      <w:r w:rsidR="007061EF">
        <w:noBreakHyphen/>
      </w:r>
      <w:r w:rsidR="00E06BF5">
        <w:t>3</w:t>
      </w:r>
      <w:r w:rsidR="007061EF">
        <w:noBreakHyphen/>
      </w:r>
      <w:r w:rsidR="00E06BF5">
        <w:t>600.</w:t>
      </w:r>
      <w:r w:rsidR="00E06BF5">
        <w:tab/>
      </w:r>
      <w:r w:rsidR="00E06BF5" w:rsidRPr="006A0C62">
        <w:t>(A)</w:t>
      </w:r>
      <w:r w:rsidR="00E06BF5">
        <w:tab/>
      </w:r>
      <w:r w:rsidR="00E06BF5" w:rsidRPr="006A0C62">
        <w:t xml:space="preserve">For purposes of this section: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007061EF" w:rsidRPr="007061EF">
        <w:t>‘</w:t>
      </w:r>
      <w:r w:rsidRPr="006A0C62">
        <w:t>Great bodily injury</w:t>
      </w:r>
      <w:r w:rsidR="007061EF" w:rsidRPr="007061EF">
        <w:t>’</w:t>
      </w:r>
      <w:r w:rsidRPr="006A0C62">
        <w:t xml:space="preserve"> means bodily injury which causes a substantial risk of death or which causes serious, permanent disfigurement or protracted loss or impairment of the function of a bodily member or organ.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007061EF" w:rsidRPr="007061EF">
        <w:t>‘</w:t>
      </w:r>
      <w:r w:rsidRPr="006A0C62">
        <w:t>Moderate bodily injury</w:t>
      </w:r>
      <w:r w:rsidR="007061EF" w:rsidRPr="007061EF">
        <w:t>’</w:t>
      </w:r>
      <w:r w:rsidRPr="006A0C62">
        <w:t xml:space="preserve"> means physical injury </w:t>
      </w:r>
      <w:r w:rsidRPr="00E06BF5">
        <w:rPr>
          <w:strike/>
        </w:rPr>
        <w:t xml:space="preserve">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w:t>
      </w:r>
      <w:r w:rsidRPr="00E06BF5">
        <w:rPr>
          <w:strike/>
        </w:rPr>
        <w:lastRenderedPageBreak/>
        <w:t>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007061EF" w:rsidRPr="007061EF">
        <w:t>‘</w:t>
      </w:r>
      <w:r w:rsidRPr="006A0C62">
        <w:t>Private parts</w:t>
      </w:r>
      <w:r w:rsidR="007061EF" w:rsidRPr="007061EF">
        <w:t>’</w:t>
      </w:r>
      <w:r w:rsidRPr="006A0C62">
        <w:t xml:space="preserve"> means the genital area or buttocks of a male or female or the breasts of a female.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E06BF5" w:rsidRP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rsidR="007061EF">
        <w:noBreakHyphen/>
      </w:r>
      <w:r w:rsidRPr="006A0C62">
        <w:t>included offense of attempted murder, as defined in Section 16</w:t>
      </w:r>
      <w:r w:rsidR="007061EF">
        <w:noBreakHyphen/>
      </w:r>
      <w:r w:rsidRPr="006A0C62">
        <w:t>3</w:t>
      </w:r>
      <w:r w:rsidR="007061EF">
        <w:noBreakHyphen/>
      </w:r>
      <w:r w:rsidRPr="006A0C62">
        <w:t xml:space="preserve">29. </w:t>
      </w:r>
    </w:p>
    <w:p w:rsidR="007061EF" w:rsidRPr="00C76B8B" w:rsidRDefault="00E06BF5"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061EF">
        <w:rPr>
          <w:color w:val="000000" w:themeColor="text1"/>
          <w:u w:color="000000" w:themeColor="text1"/>
        </w:rPr>
        <w:t>(C)(1)</w:t>
      </w:r>
      <w:r w:rsidR="007061EF">
        <w:rPr>
          <w:color w:val="000000" w:themeColor="text1"/>
          <w:u w:color="000000" w:themeColor="text1"/>
        </w:rPr>
        <w:tab/>
      </w:r>
      <w:r w:rsidR="007061EF" w:rsidRPr="00C76B8B">
        <w:rPr>
          <w:color w:val="000000" w:themeColor="text1"/>
          <w:u w:color="000000" w:themeColor="text1"/>
        </w:rPr>
        <w:t xml:space="preserve">A person commits the offense of assault and battery in the first degree if the person unlawfully: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E06BF5" w:rsidRPr="006A0C62" w:rsidRDefault="00E06BF5"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rsidR="007061EF">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7061EF">
        <w:noBreakHyphen/>
      </w:r>
      <w:r w:rsidRPr="006A0C62">
        <w:t>3</w:t>
      </w:r>
      <w:r w:rsidR="007061EF">
        <w:noBreakHyphen/>
      </w:r>
      <w:r w:rsidRPr="006A0C62">
        <w:t>29.</w:t>
      </w:r>
      <w:r>
        <w:t>”</w:t>
      </w: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0EB">
        <w:t>2</w:t>
      </w:r>
      <w:r>
        <w:t>.</w:t>
      </w:r>
      <w:r>
        <w:tab/>
        <w:t>This act takes effect upon approval by the Governor.</w:t>
      </w:r>
    </w:p>
    <w:p w:rsidR="00AF2BBB" w:rsidRDefault="007061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BBB" w:rsidRDefault="00AF2BBB" w:rsidP="005A6967">
      <w:pPr>
        <w:suppressAutoHyphens/>
      </w:pPr>
    </w:p>
    <w:sectPr w:rsidR="00AF2BBB" w:rsidSect="005A69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1EF" w:rsidRDefault="007061EF" w:rsidP="009F0C77">
      <w:r>
        <w:separator/>
      </w:r>
    </w:p>
  </w:endnote>
  <w:endnote w:type="continuationSeparator" w:id="0">
    <w:p w:rsidR="007061EF" w:rsidRDefault="00706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A5A04B-8CE7-4172-BEA7-AB046C24DDD9}"/>
    <w:embedBold r:id="rId2" w:fontKey="{CD1530C7-B0F8-4730-B0F3-8F92258C7401}"/>
  </w:font>
  <w:font w:name="Calibri">
    <w:panose1 w:val="020F0502020204030204"/>
    <w:charset w:val="00"/>
    <w:family w:val="swiss"/>
    <w:pitch w:val="variable"/>
    <w:sig w:usb0="E10002FF" w:usb1="4000ACFF" w:usb2="00000009" w:usb3="00000000" w:csb0="0000019F" w:csb1="00000000"/>
    <w:embedRegular r:id="rId3" w:fontKey="{B4D09D9A-CA1B-4F13-8082-D4235EF16E64}"/>
  </w:font>
  <w:font w:name="Tahoma">
    <w:panose1 w:val="020B0604030504040204"/>
    <w:charset w:val="00"/>
    <w:family w:val="swiss"/>
    <w:pitch w:val="variable"/>
    <w:sig w:usb0="21002A87" w:usb1="80000000" w:usb2="00000008" w:usb3="00000000" w:csb0="000101FF" w:csb1="00000000"/>
    <w:embedRegular r:id="rId4" w:fontKey="{4E4C6600-2F88-4451-91DB-B4590CC2C645}"/>
  </w:font>
  <w:font w:name="Cambria">
    <w:panose1 w:val="02040503050406030204"/>
    <w:charset w:val="00"/>
    <w:family w:val="roman"/>
    <w:pitch w:val="variable"/>
    <w:sig w:usb0="E00002FF" w:usb1="400004FF" w:usb2="00000000" w:usb3="00000000" w:csb0="0000019F" w:csb1="00000000"/>
    <w:embedRegular r:id="rId5" w:fontKey="{C3A2CF46-661F-4294-ACD0-0381BC92A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67" w:rsidRPr="00AF2BBB" w:rsidRDefault="005A6967" w:rsidP="00AF2BBB">
    <w:pPr>
      <w:pStyle w:val="Footer"/>
      <w:tabs>
        <w:tab w:val="clear" w:pos="4680"/>
        <w:tab w:val="clear" w:pos="9360"/>
        <w:tab w:val="center" w:pos="2995"/>
      </w:tabs>
      <w:spacing w:before="120"/>
    </w:pPr>
    <w:r>
      <w:t>[4920]</w:t>
    </w:r>
    <w:r>
      <w:tab/>
    </w:r>
    <w:r w:rsidR="00014D48">
      <w:fldChar w:fldCharType="begin"/>
    </w:r>
    <w:r w:rsidR="00014D48">
      <w:instrText xml:space="preserve"> PAGE  \* MERGEFORMAT </w:instrText>
    </w:r>
    <w:r w:rsidR="00014D48">
      <w:fldChar w:fldCharType="separate"/>
    </w:r>
    <w:r w:rsidR="00014D48">
      <w:rPr>
        <w:noProof/>
      </w:rPr>
      <w:t>1</w:t>
    </w:r>
    <w:r w:rsidR="00014D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1EF" w:rsidRDefault="007061EF" w:rsidP="009F0C77">
      <w:r>
        <w:separator/>
      </w:r>
    </w:p>
  </w:footnote>
  <w:footnote w:type="continuationSeparator" w:id="0">
    <w:p w:rsidR="007061EF" w:rsidRDefault="00706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5AHB12"/>
    <w:docVar w:name="CoverBillType" w:val="b"/>
    <w:docVar w:name="docpath" w:val="L:\Council\bills\MS\7665AHB12.DOCX"/>
    <w:docVar w:name="dvBillNumber" w:val="4920"/>
    <w:docVar w:name="dvBillNumberPrefix" w:val="H. "/>
    <w:docVar w:name="dvOriginalBody" w:val="House"/>
    <w:docVar w:name="dvSteno" w:val="MS"/>
    <w:docVar w:name="NameofBody" w:val="h"/>
    <w:docVar w:name="vgroup2" w:val="Council"/>
  </w:docVars>
  <w:rsids>
    <w:rsidRoot w:val="00F65675"/>
    <w:rsid w:val="00003A3E"/>
    <w:rsid w:val="00011869"/>
    <w:rsid w:val="00014D48"/>
    <w:rsid w:val="00046230"/>
    <w:rsid w:val="000C1114"/>
    <w:rsid w:val="000E1785"/>
    <w:rsid w:val="000F40FA"/>
    <w:rsid w:val="0010776B"/>
    <w:rsid w:val="001102A0"/>
    <w:rsid w:val="00133E66"/>
    <w:rsid w:val="001435A3"/>
    <w:rsid w:val="00154ECB"/>
    <w:rsid w:val="001D08F2"/>
    <w:rsid w:val="001D525B"/>
    <w:rsid w:val="001D7F4F"/>
    <w:rsid w:val="001F5093"/>
    <w:rsid w:val="002321B6"/>
    <w:rsid w:val="00250967"/>
    <w:rsid w:val="002543C8"/>
    <w:rsid w:val="00276CC0"/>
    <w:rsid w:val="00284AAE"/>
    <w:rsid w:val="00286612"/>
    <w:rsid w:val="002C7170"/>
    <w:rsid w:val="002E5912"/>
    <w:rsid w:val="00325348"/>
    <w:rsid w:val="0032732C"/>
    <w:rsid w:val="00336AD0"/>
    <w:rsid w:val="0037079A"/>
    <w:rsid w:val="003A49BC"/>
    <w:rsid w:val="003D01E8"/>
    <w:rsid w:val="003E5288"/>
    <w:rsid w:val="003F6D79"/>
    <w:rsid w:val="0041760A"/>
    <w:rsid w:val="00417C01"/>
    <w:rsid w:val="004809EE"/>
    <w:rsid w:val="004C35C4"/>
    <w:rsid w:val="004E7D54"/>
    <w:rsid w:val="005273C6"/>
    <w:rsid w:val="00530A69"/>
    <w:rsid w:val="00545593"/>
    <w:rsid w:val="00577C6C"/>
    <w:rsid w:val="005A6967"/>
    <w:rsid w:val="005C2FE2"/>
    <w:rsid w:val="005E2BC9"/>
    <w:rsid w:val="0060090A"/>
    <w:rsid w:val="00605102"/>
    <w:rsid w:val="006215AA"/>
    <w:rsid w:val="006913C9"/>
    <w:rsid w:val="0069470D"/>
    <w:rsid w:val="007061EF"/>
    <w:rsid w:val="00734F00"/>
    <w:rsid w:val="00770815"/>
    <w:rsid w:val="007A69E2"/>
    <w:rsid w:val="007A70AE"/>
    <w:rsid w:val="008362E8"/>
    <w:rsid w:val="008A1768"/>
    <w:rsid w:val="008A366A"/>
    <w:rsid w:val="008E4573"/>
    <w:rsid w:val="008F4429"/>
    <w:rsid w:val="0094021A"/>
    <w:rsid w:val="009730EB"/>
    <w:rsid w:val="009C6A0B"/>
    <w:rsid w:val="009F0C77"/>
    <w:rsid w:val="009F4DD1"/>
    <w:rsid w:val="00A41684"/>
    <w:rsid w:val="00A64E80"/>
    <w:rsid w:val="00A72BCD"/>
    <w:rsid w:val="00A741D9"/>
    <w:rsid w:val="00A833AB"/>
    <w:rsid w:val="00A9741D"/>
    <w:rsid w:val="00AB7DD2"/>
    <w:rsid w:val="00AD4B17"/>
    <w:rsid w:val="00AE11BE"/>
    <w:rsid w:val="00AF2BBB"/>
    <w:rsid w:val="00B412D4"/>
    <w:rsid w:val="00BE3C22"/>
    <w:rsid w:val="00C0345E"/>
    <w:rsid w:val="00C14CA3"/>
    <w:rsid w:val="00C3483A"/>
    <w:rsid w:val="00C3778E"/>
    <w:rsid w:val="00C74E9D"/>
    <w:rsid w:val="00C82FD3"/>
    <w:rsid w:val="00C92819"/>
    <w:rsid w:val="00CC6B7B"/>
    <w:rsid w:val="00CD2089"/>
    <w:rsid w:val="00CF005C"/>
    <w:rsid w:val="00D00160"/>
    <w:rsid w:val="00D14C5D"/>
    <w:rsid w:val="00D73A67"/>
    <w:rsid w:val="00D970A9"/>
    <w:rsid w:val="00DF3845"/>
    <w:rsid w:val="00E06BF5"/>
    <w:rsid w:val="00E41911"/>
    <w:rsid w:val="00E92EEF"/>
    <w:rsid w:val="00EC2AC5"/>
    <w:rsid w:val="00F24442"/>
    <w:rsid w:val="00F50AE3"/>
    <w:rsid w:val="00F64021"/>
    <w:rsid w:val="00F6567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D9522B-2FCC-44F7-B820-D3AD10ED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1EF"/>
    <w:rPr>
      <w:rFonts w:ascii="Tahoma" w:hAnsi="Tahoma" w:cs="Tahoma"/>
      <w:sz w:val="16"/>
      <w:szCs w:val="16"/>
    </w:rPr>
  </w:style>
  <w:style w:type="character" w:customStyle="1" w:styleId="BalloonTextChar">
    <w:name w:val="Balloon Text Char"/>
    <w:basedOn w:val="DefaultParagraphFont"/>
    <w:link w:val="BalloonText"/>
    <w:uiPriority w:val="99"/>
    <w:semiHidden/>
    <w:rsid w:val="007061EF"/>
    <w:rPr>
      <w:rFonts w:ascii="Tahoma" w:eastAsia="Times New Roman" w:hAnsi="Tahoma" w:cs="Tahoma"/>
      <w:sz w:val="16"/>
      <w:szCs w:val="16"/>
    </w:rPr>
  </w:style>
  <w:style w:type="character" w:styleId="Hyperlink">
    <w:name w:val="Hyperlink"/>
    <w:basedOn w:val="DefaultParagraphFont"/>
    <w:uiPriority w:val="99"/>
    <w:unhideWhenUsed/>
    <w:rsid w:val="005A69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20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BF6F7-8095-4823-9A60-68949FD7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932</Words>
  <Characters>4702</Characters>
  <Application>Microsoft Office Word</Application>
  <DocSecurity>4</DocSecurity>
  <Lines>142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4920: Assault and battery offenses - South Carolina Legislature Online</dc:title>
  <dc:subject/>
  <dc:creator>MarthaSanders</dc:creator>
  <cp:keywords/>
  <dc:description/>
  <cp:lastModifiedBy>N Cumfer</cp:lastModifiedBy>
  <cp:revision>2</cp:revision>
  <cp:lastPrinted>2012-01-12T14:44:00Z</cp:lastPrinted>
  <dcterms:created xsi:type="dcterms:W3CDTF">2014-11-24T14:50:00Z</dcterms:created>
  <dcterms:modified xsi:type="dcterms:W3CDTF">2014-11-24T14:50:00Z</dcterms:modified>
</cp:coreProperties>
</file>