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3614" w:rsidRDefault="00233614" w:rsidP="00233614">
      <w:pPr>
        <w:widowControl w:val="0"/>
        <w:jc w:val="center"/>
      </w:pPr>
      <w:bookmarkStart w:id="0" w:name="_GoBack"/>
      <w:bookmarkEnd w:id="0"/>
      <w:r w:rsidRPr="00233614">
        <w:rPr>
          <w:b/>
        </w:rPr>
        <w:t>South Carolina General Assembly</w:t>
      </w:r>
    </w:p>
    <w:p w:rsidR="00233614" w:rsidRDefault="00233614" w:rsidP="00233614">
      <w:pPr>
        <w:widowControl w:val="0"/>
        <w:jc w:val="center"/>
      </w:pPr>
      <w:r>
        <w:t>119th Session, 2011-2012</w:t>
      </w:r>
    </w:p>
    <w:p w:rsidR="00233614" w:rsidRDefault="00233614" w:rsidP="00233614">
      <w:pPr>
        <w:widowControl w:val="0"/>
      </w:pPr>
    </w:p>
    <w:p w:rsidR="00233614" w:rsidRDefault="00233614" w:rsidP="00233614">
      <w:pPr>
        <w:widowControl w:val="0"/>
        <w:rPr>
          <w:b/>
        </w:rPr>
      </w:pPr>
      <w:r w:rsidRPr="00233614">
        <w:rPr>
          <w:b/>
        </w:rPr>
        <w:t>S.</w:t>
      </w:r>
      <w:r>
        <w:rPr>
          <w:b/>
        </w:rPr>
        <w:t xml:space="preserve"> </w:t>
      </w:r>
      <w:r w:rsidRPr="00233614">
        <w:rPr>
          <w:b/>
        </w:rPr>
        <w:t>866</w:t>
      </w:r>
    </w:p>
    <w:p w:rsidR="00233614" w:rsidRDefault="00233614" w:rsidP="00233614">
      <w:pPr>
        <w:widowControl w:val="0"/>
        <w:rPr>
          <w:b/>
        </w:rPr>
      </w:pPr>
    </w:p>
    <w:p w:rsidR="00233614" w:rsidRDefault="00233614" w:rsidP="00233614">
      <w:pPr>
        <w:widowControl w:val="0"/>
      </w:pPr>
      <w:r w:rsidRPr="00233614">
        <w:rPr>
          <w:b/>
        </w:rPr>
        <w:t>STATUS INFORMATION</w:t>
      </w:r>
    </w:p>
    <w:p w:rsidR="00233614" w:rsidRDefault="00233614" w:rsidP="00233614">
      <w:pPr>
        <w:widowControl w:val="0"/>
      </w:pPr>
    </w:p>
    <w:p w:rsidR="00233614" w:rsidRDefault="00233614" w:rsidP="00233614">
      <w:pPr>
        <w:widowControl w:val="0"/>
      </w:pPr>
      <w:r>
        <w:t>General Bill</w:t>
      </w:r>
    </w:p>
    <w:p w:rsidR="00233614" w:rsidRDefault="00233614" w:rsidP="00233614">
      <w:pPr>
        <w:widowControl w:val="0"/>
      </w:pPr>
      <w:r>
        <w:t>Sponsors: Senator McConnell</w:t>
      </w:r>
    </w:p>
    <w:p w:rsidR="00233614" w:rsidRDefault="00233614" w:rsidP="00233614">
      <w:pPr>
        <w:widowControl w:val="0"/>
      </w:pPr>
      <w:r>
        <w:t>Document Path: l:\s-jud\bills\mcconnell\jud0116.jjg.docx</w:t>
      </w:r>
    </w:p>
    <w:p w:rsidR="00233614" w:rsidRDefault="00233614" w:rsidP="00233614">
      <w:pPr>
        <w:widowControl w:val="0"/>
      </w:pPr>
    </w:p>
    <w:p w:rsidR="00233614" w:rsidRDefault="00233614" w:rsidP="00233614">
      <w:pPr>
        <w:widowControl w:val="0"/>
      </w:pPr>
      <w:r>
        <w:t>Introduced in the Senate on May 3, 2011</w:t>
      </w:r>
    </w:p>
    <w:p w:rsidR="00233614" w:rsidRDefault="00233614" w:rsidP="00233614">
      <w:pPr>
        <w:widowControl w:val="0"/>
      </w:pPr>
      <w:r>
        <w:t xml:space="preserve">Currently residing in the Senate Committee on </w:t>
      </w:r>
      <w:r w:rsidRPr="00233614">
        <w:rPr>
          <w:b/>
        </w:rPr>
        <w:t>Judiciary</w:t>
      </w:r>
    </w:p>
    <w:p w:rsidR="00233614" w:rsidRDefault="00233614" w:rsidP="00233614">
      <w:pPr>
        <w:widowControl w:val="0"/>
      </w:pPr>
    </w:p>
    <w:p w:rsidR="00233614" w:rsidRDefault="00233614" w:rsidP="00233614">
      <w:pPr>
        <w:widowControl w:val="0"/>
      </w:pPr>
      <w:r>
        <w:t xml:space="preserve">Summary: </w:t>
      </w:r>
      <w:r w:rsidR="00413DBC">
        <w:t>Post-conviction relief proceedings</w:t>
      </w:r>
    </w:p>
    <w:p w:rsidR="00233614" w:rsidRDefault="00233614" w:rsidP="00233614">
      <w:pPr>
        <w:widowControl w:val="0"/>
      </w:pPr>
    </w:p>
    <w:p w:rsidR="00233614" w:rsidRDefault="00233614" w:rsidP="00233614">
      <w:pPr>
        <w:widowControl w:val="0"/>
      </w:pPr>
    </w:p>
    <w:p w:rsidR="00233614" w:rsidRDefault="00233614" w:rsidP="00233614">
      <w:pPr>
        <w:widowControl w:val="0"/>
        <w:tabs>
          <w:tab w:val="center" w:pos="590"/>
          <w:tab w:val="center" w:pos="1440"/>
          <w:tab w:val="left" w:pos="1872"/>
          <w:tab w:val="left" w:pos="9187"/>
        </w:tabs>
      </w:pPr>
      <w:r w:rsidRPr="00233614">
        <w:rPr>
          <w:b/>
        </w:rPr>
        <w:t>HISTORY OF LEGISLATIVE ACTIONS</w:t>
      </w:r>
    </w:p>
    <w:p w:rsidR="00233614" w:rsidRDefault="00233614" w:rsidP="00233614">
      <w:pPr>
        <w:widowControl w:val="0"/>
        <w:tabs>
          <w:tab w:val="center" w:pos="590"/>
          <w:tab w:val="center" w:pos="1440"/>
          <w:tab w:val="left" w:pos="1872"/>
          <w:tab w:val="left" w:pos="9187"/>
        </w:tabs>
      </w:pPr>
    </w:p>
    <w:p w:rsidR="00233614" w:rsidRPr="00233614" w:rsidRDefault="00233614" w:rsidP="00233614">
      <w:pPr>
        <w:widowControl w:val="0"/>
        <w:tabs>
          <w:tab w:val="center" w:pos="590"/>
          <w:tab w:val="center" w:pos="1440"/>
          <w:tab w:val="left" w:pos="1872"/>
          <w:tab w:val="left" w:pos="9187"/>
        </w:tabs>
      </w:pPr>
      <w:r w:rsidRPr="00233614">
        <w:rPr>
          <w:u w:val="single"/>
        </w:rPr>
        <w:tab/>
        <w:t>Date</w:t>
      </w:r>
      <w:r w:rsidRPr="00233614">
        <w:rPr>
          <w:u w:val="single"/>
        </w:rPr>
        <w:tab/>
        <w:t>Body</w:t>
      </w:r>
      <w:r w:rsidRPr="00233614">
        <w:rPr>
          <w:u w:val="single"/>
        </w:rPr>
        <w:tab/>
        <w:t>Action Description with journal page number</w:t>
      </w:r>
      <w:r w:rsidRPr="00233614">
        <w:rPr>
          <w:u w:val="single"/>
        </w:rPr>
        <w:tab/>
      </w:r>
    </w:p>
    <w:p w:rsidR="00141588" w:rsidRDefault="00141588" w:rsidP="00141588">
      <w:pPr>
        <w:widowControl w:val="0"/>
        <w:tabs>
          <w:tab w:val="right" w:pos="1008"/>
          <w:tab w:val="left" w:pos="1152"/>
          <w:tab w:val="left" w:pos="1872"/>
          <w:tab w:val="left" w:pos="9187"/>
        </w:tabs>
        <w:ind w:left="2088" w:hanging="2088"/>
      </w:pPr>
      <w:r>
        <w:tab/>
        <w:t>5/3/2011</w:t>
      </w:r>
      <w:r>
        <w:tab/>
        <w:t>Senate</w:t>
      </w:r>
      <w:r>
        <w:tab/>
      </w:r>
      <w:r w:rsidRPr="00891381">
        <w:t>Introduced and read first time (</w:t>
      </w:r>
      <w:hyperlink r:id="rId6" w:history="1">
        <w:r w:rsidRPr="00891381">
          <w:rPr>
            <w:rStyle w:val="Hyperlink"/>
          </w:rPr>
          <w:t>Senate Journal</w:t>
        </w:r>
        <w:r w:rsidRPr="00891381">
          <w:rPr>
            <w:rStyle w:val="Hyperlink"/>
          </w:rPr>
          <w:noBreakHyphen/>
          <w:t>page 18</w:t>
        </w:r>
      </w:hyperlink>
      <w:r w:rsidRPr="00891381">
        <w:t>)</w:t>
      </w:r>
    </w:p>
    <w:p w:rsidR="00141588" w:rsidRDefault="00141588" w:rsidP="00141588">
      <w:pPr>
        <w:widowControl w:val="0"/>
        <w:tabs>
          <w:tab w:val="right" w:pos="1008"/>
          <w:tab w:val="left" w:pos="1152"/>
          <w:tab w:val="left" w:pos="1872"/>
          <w:tab w:val="left" w:pos="9187"/>
        </w:tabs>
        <w:ind w:left="2088" w:hanging="2088"/>
      </w:pPr>
      <w:r>
        <w:tab/>
        <w:t>5/3/2011</w:t>
      </w:r>
      <w:r>
        <w:tab/>
        <w:t>Senate</w:t>
      </w:r>
      <w:r>
        <w:tab/>
      </w:r>
      <w:r w:rsidRPr="00891381">
        <w:t>Ref</w:t>
      </w:r>
      <w:r>
        <w:t xml:space="preserve">erred to Committee on </w:t>
      </w:r>
      <w:r w:rsidRPr="00891381">
        <w:rPr>
          <w:b/>
        </w:rPr>
        <w:t>Judiciary</w:t>
      </w:r>
      <w:r>
        <w:t xml:space="preserve"> </w:t>
      </w:r>
      <w:r w:rsidRPr="00891381">
        <w:t>(</w:t>
      </w:r>
      <w:hyperlink r:id="rId7" w:history="1">
        <w:r w:rsidRPr="00891381">
          <w:rPr>
            <w:rStyle w:val="Hyperlink"/>
          </w:rPr>
          <w:t>Senate Journal</w:t>
        </w:r>
        <w:r w:rsidRPr="00891381">
          <w:rPr>
            <w:rStyle w:val="Hyperlink"/>
          </w:rPr>
          <w:noBreakHyphen/>
          <w:t>page 18</w:t>
        </w:r>
      </w:hyperlink>
      <w:r w:rsidRPr="00891381">
        <w:t>)</w:t>
      </w:r>
    </w:p>
    <w:p w:rsidR="00141588" w:rsidRDefault="00141588" w:rsidP="00141588">
      <w:pPr>
        <w:widowControl w:val="0"/>
        <w:tabs>
          <w:tab w:val="right" w:pos="1008"/>
          <w:tab w:val="left" w:pos="1152"/>
          <w:tab w:val="left" w:pos="1872"/>
          <w:tab w:val="left" w:pos="9187"/>
        </w:tabs>
        <w:ind w:left="2088" w:hanging="2088"/>
      </w:pPr>
      <w:r>
        <w:tab/>
        <w:t>1/9/2012</w:t>
      </w:r>
      <w:r>
        <w:tab/>
        <w:t>Senate</w:t>
      </w:r>
      <w:r>
        <w:tab/>
      </w:r>
      <w:r w:rsidRPr="00891381">
        <w:t>Referred to S</w:t>
      </w:r>
      <w:r>
        <w:t xml:space="preserve">ubcommittee: Malloy (ch), Ford, </w:t>
      </w:r>
      <w:r w:rsidRPr="00891381">
        <w:t>Knotts, Campsen</w:t>
      </w:r>
    </w:p>
    <w:p w:rsidR="00141588" w:rsidRDefault="00141588" w:rsidP="00141588">
      <w:pPr>
        <w:widowControl w:val="0"/>
        <w:tabs>
          <w:tab w:val="right" w:pos="1008"/>
          <w:tab w:val="left" w:pos="1152"/>
          <w:tab w:val="left" w:pos="1872"/>
          <w:tab w:val="left" w:pos="9187"/>
        </w:tabs>
        <w:ind w:left="2088" w:hanging="2088"/>
      </w:pPr>
    </w:p>
    <w:p w:rsidR="00233614" w:rsidRPr="00233614" w:rsidRDefault="00233614" w:rsidP="00233614">
      <w:pPr>
        <w:widowControl w:val="0"/>
        <w:tabs>
          <w:tab w:val="right" w:pos="1008"/>
          <w:tab w:val="left" w:pos="1152"/>
          <w:tab w:val="left" w:pos="1872"/>
          <w:tab w:val="left" w:pos="9187"/>
        </w:tabs>
        <w:ind w:left="2088" w:hanging="2088"/>
      </w:pPr>
    </w:p>
    <w:p w:rsidR="00233614" w:rsidRDefault="00233614" w:rsidP="00233614">
      <w:pPr>
        <w:widowControl w:val="0"/>
      </w:pPr>
      <w:r w:rsidRPr="00233614">
        <w:rPr>
          <w:b/>
        </w:rPr>
        <w:t>VERSIONS OF THIS BILL</w:t>
      </w:r>
    </w:p>
    <w:p w:rsidR="00233614" w:rsidRDefault="00233614" w:rsidP="00233614">
      <w:pPr>
        <w:widowControl w:val="0"/>
      </w:pPr>
    </w:p>
    <w:p w:rsidR="00233614" w:rsidRDefault="006248B5" w:rsidP="00233614">
      <w:pPr>
        <w:widowControl w:val="0"/>
      </w:pPr>
      <w:hyperlink r:id="rId8" w:history="1">
        <w:r w:rsidR="00233614">
          <w:rPr>
            <w:rStyle w:val="Hyperlink"/>
          </w:rPr>
          <w:t>5/3/2011</w:t>
        </w:r>
      </w:hyperlink>
    </w:p>
    <w:p w:rsidR="00233614" w:rsidRDefault="00233614" w:rsidP="00233614"/>
    <w:p w:rsidR="00233614" w:rsidRDefault="00233614" w:rsidP="00233614">
      <w:pPr>
        <w:sectPr w:rsidR="00233614" w:rsidSect="00233614">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92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21D6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0E5C" w:rsidRPr="00A970DB" w:rsidRDefault="00380E5C" w:rsidP="00380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bookmarkStart w:id="3" w:name="titletop"/>
      <w:bookmarkEnd w:id="3"/>
      <w:r w:rsidRPr="00A970DB">
        <w:rPr>
          <w:rFonts w:eastAsia="Calibri"/>
          <w:color w:val="000000" w:themeColor="text1"/>
          <w:u w:color="000000" w:themeColor="text1"/>
        </w:rPr>
        <w:t>TO AMEND SECTION 17</w:t>
      </w:r>
      <w:r w:rsidRPr="00A970DB">
        <w:rPr>
          <w:rFonts w:eastAsia="Calibri"/>
          <w:color w:val="000000" w:themeColor="text1"/>
          <w:u w:color="000000" w:themeColor="text1"/>
        </w:rPr>
        <w:noBreakHyphen/>
        <w:t>27</w:t>
      </w:r>
      <w:r w:rsidRPr="00A970DB">
        <w:rPr>
          <w:rFonts w:eastAsia="Calibri"/>
          <w:color w:val="000000" w:themeColor="text1"/>
          <w:u w:color="000000" w:themeColor="text1"/>
        </w:rPr>
        <w:noBreakHyphen/>
        <w:t>20 OF THE CODE OF LAWS OF SOUTH CAROLINA, 1976, RELATING TO PERSONS WHO MAY INSTITUTE A POST</w:t>
      </w:r>
      <w:r w:rsidRPr="00A970DB">
        <w:rPr>
          <w:rFonts w:eastAsia="Calibri"/>
          <w:color w:val="000000" w:themeColor="text1"/>
          <w:u w:color="000000" w:themeColor="text1"/>
        </w:rPr>
        <w:noBreakHyphen/>
        <w:t>CONVICTION RELIEF PROCEEDING, SO AS TO PROVIDE THAT A PERSON MAY INSTITUTE A POST</w:t>
      </w:r>
      <w:r w:rsidRPr="00A970DB">
        <w:rPr>
          <w:rFonts w:eastAsia="Calibri"/>
          <w:color w:val="000000" w:themeColor="text1"/>
          <w:u w:color="000000" w:themeColor="text1"/>
        </w:rPr>
        <w:noBreakHyphen/>
        <w:t>CONVICTION RELIEF PROCEEDING IF THE PERSON HAS BEEN CONVICTED OF AND SENTENCED FOR A CRIME.</w:t>
      </w:r>
    </w:p>
    <w:p w:rsidR="00380E5C" w:rsidRDefault="00380E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1D63" w:rsidRDefault="00721D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21D63" w:rsidRDefault="00721D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0E5C" w:rsidRPr="00030309" w:rsidRDefault="00380E5C" w:rsidP="00380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030309">
        <w:rPr>
          <w:color w:val="000000" w:themeColor="text1"/>
          <w:u w:color="000000" w:themeColor="text1"/>
        </w:rPr>
        <w:t>Section 17</w:t>
      </w:r>
      <w:r w:rsidRPr="00030309">
        <w:rPr>
          <w:color w:val="000000" w:themeColor="text1"/>
          <w:u w:color="000000" w:themeColor="text1"/>
        </w:rPr>
        <w:noBreakHyphen/>
        <w:t>27</w:t>
      </w:r>
      <w:r w:rsidRPr="00030309">
        <w:rPr>
          <w:color w:val="000000" w:themeColor="text1"/>
          <w:u w:color="000000" w:themeColor="text1"/>
        </w:rPr>
        <w:noBreakHyphen/>
        <w:t>20 of the 1976 Code is amended to read:</w:t>
      </w:r>
    </w:p>
    <w:p w:rsidR="00380E5C" w:rsidRPr="00030309" w:rsidRDefault="00380E5C" w:rsidP="00380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0E5C" w:rsidRPr="00030309" w:rsidRDefault="00380E5C" w:rsidP="00380E5C">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309">
        <w:rPr>
          <w:color w:val="000000" w:themeColor="text1"/>
          <w:u w:color="000000" w:themeColor="text1"/>
        </w:rPr>
        <w:tab/>
        <w:t>“Section 17</w:t>
      </w:r>
      <w:r w:rsidRPr="00030309">
        <w:rPr>
          <w:color w:val="000000" w:themeColor="text1"/>
          <w:u w:color="000000" w:themeColor="text1"/>
        </w:rPr>
        <w:noBreakHyphen/>
        <w:t>27</w:t>
      </w:r>
      <w:r w:rsidRPr="00030309">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030309">
        <w:rPr>
          <w:strike/>
          <w:color w:val="000000" w:themeColor="text1"/>
          <w:u w:color="000000" w:themeColor="text1"/>
        </w:rPr>
        <w:t>(a)</w:t>
      </w:r>
      <w:r w:rsidRPr="00030309">
        <w:rPr>
          <w:color w:val="000000" w:themeColor="text1"/>
          <w:u w:val="single" w:color="000000" w:themeColor="text1"/>
        </w:rPr>
        <w:t>(A)</w:t>
      </w:r>
      <w:r>
        <w:rPr>
          <w:color w:val="000000" w:themeColor="text1"/>
          <w:u w:color="000000" w:themeColor="text1"/>
        </w:rPr>
        <w:tab/>
      </w:r>
      <w:r w:rsidRPr="00030309">
        <w:rPr>
          <w:strike/>
          <w:color w:val="000000" w:themeColor="text1"/>
          <w:u w:color="000000" w:themeColor="text1"/>
        </w:rPr>
        <w:t>Any</w:t>
      </w:r>
      <w:r w:rsidRPr="00030309">
        <w:rPr>
          <w:color w:val="000000" w:themeColor="text1"/>
          <w:u w:color="000000" w:themeColor="text1"/>
        </w:rPr>
        <w:t xml:space="preserve"> </w:t>
      </w:r>
      <w:r w:rsidRPr="00030309">
        <w:rPr>
          <w:color w:val="000000" w:themeColor="text1"/>
          <w:u w:val="single" w:color="000000" w:themeColor="text1"/>
        </w:rPr>
        <w:t>A</w:t>
      </w:r>
      <w:r w:rsidRPr="00030309">
        <w:rPr>
          <w:color w:val="000000" w:themeColor="text1"/>
          <w:u w:color="000000" w:themeColor="text1"/>
        </w:rPr>
        <w:t xml:space="preserve"> person who has been convicted of</w:t>
      </w:r>
      <w:r w:rsidRPr="00030309">
        <w:rPr>
          <w:strike/>
          <w:color w:val="000000" w:themeColor="text1"/>
          <w:u w:color="000000" w:themeColor="text1"/>
        </w:rPr>
        <w:t>, or</w:t>
      </w:r>
      <w:r w:rsidRPr="00030309">
        <w:rPr>
          <w:color w:val="000000" w:themeColor="text1"/>
          <w:u w:color="000000" w:themeColor="text1"/>
        </w:rPr>
        <w:t xml:space="preserve"> </w:t>
      </w:r>
      <w:r w:rsidRPr="00030309">
        <w:rPr>
          <w:color w:val="000000" w:themeColor="text1"/>
          <w:u w:val="single" w:color="000000" w:themeColor="text1"/>
        </w:rPr>
        <w:t>and</w:t>
      </w:r>
      <w:r w:rsidRPr="00030309">
        <w:rPr>
          <w:color w:val="000000" w:themeColor="text1"/>
          <w:u w:color="000000" w:themeColor="text1"/>
        </w:rPr>
        <w:t xml:space="preserve"> sentenced for</w:t>
      </w:r>
      <w:r w:rsidRPr="00030309">
        <w:rPr>
          <w:strike/>
          <w:color w:val="000000" w:themeColor="text1"/>
          <w:u w:color="000000" w:themeColor="text1"/>
        </w:rPr>
        <w:t>,</w:t>
      </w:r>
      <w:r w:rsidRPr="00030309">
        <w:rPr>
          <w:color w:val="000000" w:themeColor="text1"/>
          <w:u w:color="000000" w:themeColor="text1"/>
        </w:rPr>
        <w:t xml:space="preserve"> a crime</w:t>
      </w:r>
      <w:r w:rsidRPr="00030309">
        <w:rPr>
          <w:color w:val="000000" w:themeColor="text1"/>
          <w:u w:val="single" w:color="000000" w:themeColor="text1"/>
        </w:rPr>
        <w:t>,</w:t>
      </w:r>
      <w:r w:rsidRPr="00030309">
        <w:rPr>
          <w:color w:val="000000" w:themeColor="text1"/>
          <w:u w:color="000000" w:themeColor="text1"/>
        </w:rPr>
        <w:t xml:space="preserve"> and who claims </w:t>
      </w:r>
      <w:r w:rsidRPr="00030309">
        <w:rPr>
          <w:color w:val="000000" w:themeColor="text1"/>
          <w:u w:val="single" w:color="000000" w:themeColor="text1"/>
        </w:rPr>
        <w:t>that</w:t>
      </w:r>
      <w:r w:rsidRPr="00030309">
        <w:rPr>
          <w:color w:val="000000" w:themeColor="text1"/>
          <w:u w:color="000000" w:themeColor="text1"/>
        </w:rPr>
        <w:t xml:space="preserve">: </w:t>
      </w:r>
    </w:p>
    <w:p w:rsidR="00380E5C" w:rsidRPr="00030309" w:rsidRDefault="00380E5C" w:rsidP="00380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30309">
        <w:rPr>
          <w:strike/>
          <w:color w:val="000000" w:themeColor="text1"/>
          <w:u w:color="000000" w:themeColor="text1"/>
        </w:rPr>
        <w:t>That</w:t>
      </w:r>
      <w:r w:rsidRPr="00030309">
        <w:rPr>
          <w:color w:val="000000" w:themeColor="text1"/>
          <w:u w:color="000000" w:themeColor="text1"/>
        </w:rPr>
        <w:t xml:space="preserve"> the conviction or the sentence was in violation of the Constitution of the United States or the Constitution or laws of this State; </w:t>
      </w:r>
    </w:p>
    <w:p w:rsidR="00380E5C" w:rsidRPr="00030309" w:rsidRDefault="00380E5C" w:rsidP="00380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30309">
        <w:rPr>
          <w:strike/>
          <w:color w:val="000000" w:themeColor="text1"/>
          <w:u w:color="000000" w:themeColor="text1"/>
        </w:rPr>
        <w:t>That</w:t>
      </w:r>
      <w:r w:rsidRPr="00030309">
        <w:rPr>
          <w:color w:val="000000" w:themeColor="text1"/>
          <w:u w:color="000000" w:themeColor="text1"/>
        </w:rPr>
        <w:t xml:space="preserve"> the court was without jurisdiction to impose sentence; </w:t>
      </w:r>
    </w:p>
    <w:p w:rsidR="00380E5C" w:rsidRPr="00030309" w:rsidRDefault="00380E5C" w:rsidP="00380E5C">
      <w:pPr>
        <w:tabs>
          <w:tab w:val="left" w:pos="216"/>
          <w:tab w:val="left" w:pos="432"/>
          <w:tab w:val="left" w:pos="648"/>
          <w:tab w:val="left" w:pos="864"/>
          <w:tab w:val="left" w:pos="1080"/>
          <w:tab w:val="left" w:pos="1296"/>
          <w:tab w:val="left" w:pos="1512"/>
          <w:tab w:val="left" w:pos="1728"/>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30309">
        <w:rPr>
          <w:strike/>
          <w:color w:val="000000" w:themeColor="text1"/>
          <w:u w:color="000000" w:themeColor="text1"/>
        </w:rPr>
        <w:t>That</w:t>
      </w:r>
      <w:r w:rsidRPr="00030309">
        <w:rPr>
          <w:color w:val="000000" w:themeColor="text1"/>
          <w:u w:color="000000" w:themeColor="text1"/>
        </w:rPr>
        <w:t xml:space="preserve"> the sentence exceeds the maximum authorized by law; </w:t>
      </w:r>
    </w:p>
    <w:p w:rsidR="00380E5C" w:rsidRPr="00030309" w:rsidRDefault="00380E5C" w:rsidP="00380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030309">
        <w:rPr>
          <w:strike/>
          <w:color w:val="000000" w:themeColor="text1"/>
          <w:u w:color="000000" w:themeColor="text1"/>
        </w:rPr>
        <w:t>That</w:t>
      </w:r>
      <w:r w:rsidRPr="00030309">
        <w:rPr>
          <w:color w:val="000000" w:themeColor="text1"/>
          <w:u w:color="000000" w:themeColor="text1"/>
        </w:rPr>
        <w:t xml:space="preserve"> there exists evidence of material facts, not previously presented and heard, that requires vacation of the conviction or sentence in the interest of justice; </w:t>
      </w:r>
    </w:p>
    <w:p w:rsidR="00380E5C" w:rsidRPr="00030309" w:rsidRDefault="00380E5C" w:rsidP="00380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030309">
        <w:rPr>
          <w:strike/>
          <w:color w:val="000000" w:themeColor="text1"/>
          <w:u w:color="000000" w:themeColor="text1"/>
        </w:rPr>
        <w:t>That his</w:t>
      </w:r>
      <w:r w:rsidRPr="00030309">
        <w:rPr>
          <w:color w:val="000000" w:themeColor="text1"/>
          <w:u w:color="000000" w:themeColor="text1"/>
        </w:rPr>
        <w:t xml:space="preserve"> </w:t>
      </w:r>
      <w:r w:rsidRPr="00030309">
        <w:rPr>
          <w:color w:val="000000" w:themeColor="text1"/>
          <w:u w:val="single" w:color="000000" w:themeColor="text1"/>
        </w:rPr>
        <w:t>the person’s</w:t>
      </w:r>
      <w:r w:rsidRPr="00030309">
        <w:rPr>
          <w:color w:val="000000" w:themeColor="text1"/>
          <w:u w:color="000000" w:themeColor="text1"/>
        </w:rPr>
        <w:t xml:space="preserve"> sentence has expired, </w:t>
      </w:r>
      <w:r w:rsidRPr="00030309">
        <w:rPr>
          <w:strike/>
          <w:color w:val="000000" w:themeColor="text1"/>
          <w:u w:color="000000" w:themeColor="text1"/>
        </w:rPr>
        <w:t>his</w:t>
      </w:r>
      <w:r w:rsidRPr="00030309">
        <w:rPr>
          <w:color w:val="000000" w:themeColor="text1"/>
          <w:u w:color="000000" w:themeColor="text1"/>
        </w:rPr>
        <w:t xml:space="preserve"> probation, parole</w:t>
      </w:r>
      <w:r w:rsidRPr="00030309">
        <w:rPr>
          <w:color w:val="000000" w:themeColor="text1"/>
          <w:u w:val="single" w:color="000000" w:themeColor="text1"/>
        </w:rPr>
        <w:t>,</w:t>
      </w:r>
      <w:r w:rsidRPr="00030309">
        <w:rPr>
          <w:color w:val="000000" w:themeColor="text1"/>
          <w:u w:color="000000" w:themeColor="text1"/>
        </w:rPr>
        <w:t xml:space="preserve"> or conditional release </w:t>
      </w:r>
      <w:r w:rsidRPr="00030309">
        <w:rPr>
          <w:color w:val="000000" w:themeColor="text1"/>
          <w:u w:val="single" w:color="000000" w:themeColor="text1"/>
        </w:rPr>
        <w:t>has been</w:t>
      </w:r>
      <w:r w:rsidRPr="00030309">
        <w:rPr>
          <w:color w:val="000000" w:themeColor="text1"/>
          <w:u w:color="000000" w:themeColor="text1"/>
        </w:rPr>
        <w:t xml:space="preserve"> unlawfully revoked, or </w:t>
      </w:r>
      <w:r w:rsidRPr="00030309">
        <w:rPr>
          <w:strike/>
          <w:color w:val="000000" w:themeColor="text1"/>
          <w:u w:color="000000" w:themeColor="text1"/>
        </w:rPr>
        <w:t>he</w:t>
      </w:r>
      <w:r w:rsidRPr="00030309">
        <w:rPr>
          <w:color w:val="000000" w:themeColor="text1"/>
          <w:u w:color="000000" w:themeColor="text1"/>
        </w:rPr>
        <w:t xml:space="preserve"> </w:t>
      </w:r>
      <w:r w:rsidRPr="00030309">
        <w:rPr>
          <w:color w:val="000000" w:themeColor="text1"/>
          <w:u w:val="single" w:color="000000" w:themeColor="text1"/>
        </w:rPr>
        <w:t>the person</w:t>
      </w:r>
      <w:r w:rsidRPr="00030309">
        <w:rPr>
          <w:color w:val="000000" w:themeColor="text1"/>
          <w:u w:color="000000" w:themeColor="text1"/>
        </w:rPr>
        <w:t xml:space="preserve"> is otherwise unlawfully held in custody or other restraint; or </w:t>
      </w:r>
    </w:p>
    <w:p w:rsidR="00380E5C" w:rsidRPr="00030309" w:rsidRDefault="00380E5C" w:rsidP="00380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(6)</w:t>
      </w:r>
      <w:r>
        <w:rPr>
          <w:color w:val="000000" w:themeColor="text1"/>
          <w:u w:color="000000" w:themeColor="text1"/>
        </w:rPr>
        <w:tab/>
      </w:r>
      <w:r w:rsidRPr="00030309">
        <w:rPr>
          <w:strike/>
          <w:color w:val="000000" w:themeColor="text1"/>
          <w:u w:color="000000" w:themeColor="text1"/>
        </w:rPr>
        <w:t>That</w:t>
      </w:r>
      <w:r w:rsidRPr="00030309">
        <w:rPr>
          <w:color w:val="000000" w:themeColor="text1"/>
          <w:u w:color="000000" w:themeColor="text1"/>
        </w:rPr>
        <w:t xml:space="preserve"> the conviction or sentence is otherwise subject to collateral attack upon any ground of alleged error </w:t>
      </w:r>
      <w:r w:rsidRPr="00030309">
        <w:rPr>
          <w:strike/>
          <w:color w:val="000000" w:themeColor="text1"/>
          <w:u w:color="000000" w:themeColor="text1"/>
        </w:rPr>
        <w:t>heretofore</w:t>
      </w:r>
      <w:r w:rsidRPr="00030309">
        <w:rPr>
          <w:color w:val="000000" w:themeColor="text1"/>
          <w:u w:color="000000" w:themeColor="text1"/>
        </w:rPr>
        <w:t xml:space="preserve"> available under any common law, statutory </w:t>
      </w:r>
      <w:r w:rsidRPr="00030309">
        <w:rPr>
          <w:color w:val="000000" w:themeColor="text1"/>
          <w:u w:val="single" w:color="000000" w:themeColor="text1"/>
        </w:rPr>
        <w:t>law,</w:t>
      </w:r>
      <w:r w:rsidRPr="00030309">
        <w:rPr>
          <w:color w:val="000000" w:themeColor="text1"/>
          <w:u w:color="000000" w:themeColor="text1"/>
        </w:rPr>
        <w:t xml:space="preserve"> or other writ, motion, petition, proceeding</w:t>
      </w:r>
      <w:r w:rsidRPr="00030309">
        <w:rPr>
          <w:color w:val="000000" w:themeColor="text1"/>
          <w:u w:val="single" w:color="000000" w:themeColor="text1"/>
        </w:rPr>
        <w:t>,</w:t>
      </w:r>
      <w:r w:rsidRPr="00030309">
        <w:rPr>
          <w:color w:val="000000" w:themeColor="text1"/>
          <w:u w:color="000000" w:themeColor="text1"/>
        </w:rPr>
        <w:t xml:space="preserve"> or remedy</w:t>
      </w:r>
      <w:r w:rsidRPr="00030309">
        <w:rPr>
          <w:strike/>
          <w:color w:val="000000" w:themeColor="text1"/>
          <w:u w:color="000000" w:themeColor="text1"/>
        </w:rPr>
        <w:t>;</w:t>
      </w:r>
      <w:r w:rsidRPr="00030309">
        <w:rPr>
          <w:color w:val="000000" w:themeColor="text1"/>
          <w:u w:val="single" w:color="000000" w:themeColor="text1"/>
        </w:rPr>
        <w:t>,</w:t>
      </w:r>
      <w:r w:rsidRPr="00030309">
        <w:rPr>
          <w:color w:val="000000" w:themeColor="text1"/>
          <w:u w:color="000000" w:themeColor="text1"/>
        </w:rPr>
        <w:t xml:space="preserve"> may institute, without paying a filing fee, a proceeding </w:t>
      </w:r>
      <w:r w:rsidRPr="00030309">
        <w:rPr>
          <w:strike/>
          <w:color w:val="000000" w:themeColor="text1"/>
          <w:u w:color="000000" w:themeColor="text1"/>
        </w:rPr>
        <w:t>under</w:t>
      </w:r>
      <w:r w:rsidRPr="00030309">
        <w:rPr>
          <w:color w:val="000000" w:themeColor="text1"/>
          <w:u w:color="000000" w:themeColor="text1"/>
        </w:rPr>
        <w:t xml:space="preserve"> </w:t>
      </w:r>
      <w:r w:rsidRPr="00030309">
        <w:rPr>
          <w:color w:val="000000" w:themeColor="text1"/>
          <w:u w:val="single" w:color="000000" w:themeColor="text1"/>
        </w:rPr>
        <w:t>pursuant to</w:t>
      </w:r>
      <w:r w:rsidRPr="00030309">
        <w:rPr>
          <w:color w:val="000000" w:themeColor="text1"/>
          <w:u w:color="000000" w:themeColor="text1"/>
        </w:rPr>
        <w:t xml:space="preserve"> this chapter to secure relief.  Provided, however, that this section </w:t>
      </w:r>
      <w:r w:rsidRPr="00030309">
        <w:rPr>
          <w:strike/>
          <w:color w:val="000000" w:themeColor="text1"/>
          <w:u w:color="000000" w:themeColor="text1"/>
        </w:rPr>
        <w:t>shall</w:t>
      </w:r>
      <w:r w:rsidRPr="00030309">
        <w:rPr>
          <w:color w:val="000000" w:themeColor="text1"/>
          <w:u w:color="000000" w:themeColor="text1"/>
        </w:rPr>
        <w:t xml:space="preserve"> </w:t>
      </w:r>
      <w:r w:rsidRPr="00030309">
        <w:rPr>
          <w:color w:val="000000" w:themeColor="text1"/>
          <w:u w:val="single" w:color="000000" w:themeColor="text1"/>
        </w:rPr>
        <w:t>must</w:t>
      </w:r>
      <w:r w:rsidRPr="00030309">
        <w:rPr>
          <w:color w:val="000000" w:themeColor="text1"/>
          <w:u w:color="000000" w:themeColor="text1"/>
        </w:rPr>
        <w:t xml:space="preserve"> not be construed to permit collateral attack on the ground that the evidence was insufficient to support a conviction. </w:t>
      </w:r>
    </w:p>
    <w:p w:rsidR="00380E5C" w:rsidRPr="00030309" w:rsidRDefault="00380E5C" w:rsidP="00380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309">
        <w:rPr>
          <w:color w:val="000000" w:themeColor="text1"/>
          <w:u w:color="000000" w:themeColor="text1"/>
        </w:rPr>
        <w:tab/>
      </w:r>
      <w:r w:rsidRPr="00030309">
        <w:rPr>
          <w:strike/>
          <w:color w:val="000000" w:themeColor="text1"/>
          <w:u w:color="000000" w:themeColor="text1"/>
        </w:rPr>
        <w:t>(b)</w:t>
      </w:r>
      <w:r w:rsidRPr="00030309">
        <w:rPr>
          <w:color w:val="000000" w:themeColor="text1"/>
          <w:u w:val="single" w:color="000000" w:themeColor="text1"/>
        </w:rPr>
        <w:t>(B)</w:t>
      </w:r>
      <w:r>
        <w:rPr>
          <w:color w:val="000000" w:themeColor="text1"/>
          <w:u w:color="000000" w:themeColor="text1"/>
        </w:rPr>
        <w:tab/>
      </w:r>
      <w:r w:rsidRPr="00030309">
        <w:rPr>
          <w:color w:val="000000" w:themeColor="text1"/>
          <w:u w:color="000000" w:themeColor="text1"/>
        </w:rPr>
        <w:t xml:space="preserve">This remedy is not a substitute for nor does it affect any remedy incident to the proceedings in the trial court, or of direct review of the sentence or conviction.  Except as otherwise provided in this chapter, </w:t>
      </w:r>
      <w:r w:rsidRPr="00030309">
        <w:rPr>
          <w:strike/>
          <w:color w:val="000000" w:themeColor="text1"/>
          <w:u w:color="000000" w:themeColor="text1"/>
        </w:rPr>
        <w:t>it</w:t>
      </w:r>
      <w:r w:rsidRPr="00030309">
        <w:rPr>
          <w:color w:val="000000" w:themeColor="text1"/>
          <w:u w:color="000000" w:themeColor="text1"/>
        </w:rPr>
        <w:t xml:space="preserve"> </w:t>
      </w:r>
      <w:r w:rsidRPr="00030309">
        <w:rPr>
          <w:color w:val="000000" w:themeColor="text1"/>
          <w:u w:val="single" w:color="000000" w:themeColor="text1"/>
        </w:rPr>
        <w:t>this remedy</w:t>
      </w:r>
      <w:r w:rsidRPr="00030309">
        <w:rPr>
          <w:color w:val="000000" w:themeColor="text1"/>
          <w:u w:color="000000" w:themeColor="text1"/>
        </w:rPr>
        <w:t xml:space="preserve"> comprehends and takes the place of all other common law, statutory </w:t>
      </w:r>
      <w:r w:rsidRPr="00030309">
        <w:rPr>
          <w:color w:val="000000" w:themeColor="text1"/>
          <w:u w:val="single" w:color="000000" w:themeColor="text1"/>
        </w:rPr>
        <w:t>law,</w:t>
      </w:r>
      <w:r w:rsidRPr="00030309">
        <w:rPr>
          <w:color w:val="000000" w:themeColor="text1"/>
          <w:u w:color="000000" w:themeColor="text1"/>
        </w:rPr>
        <w:t xml:space="preserve"> or other remedies </w:t>
      </w:r>
      <w:r w:rsidRPr="00030309">
        <w:rPr>
          <w:strike/>
          <w:color w:val="000000" w:themeColor="text1"/>
          <w:u w:color="000000" w:themeColor="text1"/>
        </w:rPr>
        <w:t>heretofore</w:t>
      </w:r>
      <w:r w:rsidRPr="00030309">
        <w:rPr>
          <w:color w:val="000000" w:themeColor="text1"/>
          <w:u w:color="000000" w:themeColor="text1"/>
        </w:rPr>
        <w:t xml:space="preserve"> available for challenging the validity of the conviction or sentence.  </w:t>
      </w:r>
      <w:r w:rsidRPr="00030309">
        <w:rPr>
          <w:strike/>
          <w:color w:val="000000" w:themeColor="text1"/>
          <w:u w:color="000000" w:themeColor="text1"/>
        </w:rPr>
        <w:t>It</w:t>
      </w:r>
      <w:r w:rsidRPr="00030309">
        <w:rPr>
          <w:color w:val="000000" w:themeColor="text1"/>
          <w:u w:color="000000" w:themeColor="text1"/>
        </w:rPr>
        <w:t xml:space="preserve"> </w:t>
      </w:r>
      <w:r w:rsidRPr="00030309">
        <w:rPr>
          <w:color w:val="000000" w:themeColor="text1"/>
          <w:u w:val="single" w:color="000000" w:themeColor="text1"/>
        </w:rPr>
        <w:t>This remedy</w:t>
      </w:r>
      <w:r w:rsidRPr="00030309">
        <w:rPr>
          <w:color w:val="000000" w:themeColor="text1"/>
          <w:u w:color="000000" w:themeColor="text1"/>
        </w:rPr>
        <w:t xml:space="preserve"> </w:t>
      </w:r>
      <w:r w:rsidRPr="00030309">
        <w:rPr>
          <w:strike/>
          <w:color w:val="000000" w:themeColor="text1"/>
          <w:u w:color="000000" w:themeColor="text1"/>
        </w:rPr>
        <w:t>shall</w:t>
      </w:r>
      <w:r w:rsidRPr="00030309">
        <w:rPr>
          <w:color w:val="000000" w:themeColor="text1"/>
          <w:u w:color="000000" w:themeColor="text1"/>
        </w:rPr>
        <w:t xml:space="preserve"> </w:t>
      </w:r>
      <w:r w:rsidRPr="00030309">
        <w:rPr>
          <w:color w:val="000000" w:themeColor="text1"/>
          <w:u w:val="single" w:color="000000" w:themeColor="text1"/>
        </w:rPr>
        <w:t>must</w:t>
      </w:r>
      <w:r w:rsidRPr="00030309">
        <w:rPr>
          <w:color w:val="000000" w:themeColor="text1"/>
          <w:u w:color="000000" w:themeColor="text1"/>
        </w:rPr>
        <w:t xml:space="preserve"> be used exclusively in place of them.” </w:t>
      </w:r>
    </w:p>
    <w:p w:rsidR="00380E5C" w:rsidRPr="00030309" w:rsidRDefault="00380E5C" w:rsidP="00380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Default="00380E5C" w:rsidP="00380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color w:val="000000" w:themeColor="text1"/>
          <w:u w:color="000000" w:themeColor="text1"/>
        </w:rPr>
        <w:t>SECTION</w:t>
      </w:r>
      <w:r>
        <w:rPr>
          <w:color w:val="000000" w:themeColor="text1"/>
          <w:u w:color="000000" w:themeColor="text1"/>
        </w:rPr>
        <w:tab/>
        <w:t>2</w:t>
      </w:r>
      <w:r w:rsidRPr="00030309">
        <w:rPr>
          <w:color w:val="000000" w:themeColor="text1"/>
          <w:u w:color="000000" w:themeColor="text1"/>
        </w:rPr>
        <w:t>.</w:t>
      </w:r>
      <w:r w:rsidRPr="00030309">
        <w:rPr>
          <w:color w:val="000000" w:themeColor="text1"/>
          <w:u w:color="000000" w:themeColor="text1"/>
        </w:rPr>
        <w:tab/>
        <w:t>T</w:t>
      </w:r>
      <w:r w:rsidRPr="00030309">
        <w:rPr>
          <w:rFonts w:eastAsia="Times New Roman"/>
          <w:color w:val="000000" w:themeColor="text1"/>
          <w:szCs w:val="20"/>
          <w:u w:color="000000" w:themeColor="text1"/>
        </w:rPr>
        <w: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80E5C" w:rsidRDefault="00380E5C" w:rsidP="00380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380E5C" w:rsidRPr="00380E5C" w:rsidRDefault="00380E5C" w:rsidP="00380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3</w:t>
      </w:r>
      <w:r w:rsidRPr="00380E5C">
        <w:rPr>
          <w:rFonts w:eastAsia="Times New Roman"/>
          <w:color w:val="000000" w:themeColor="text1"/>
          <w:szCs w:val="20"/>
          <w:u w:color="000000" w:themeColor="text1"/>
        </w:rPr>
        <w:t>.</w:t>
      </w:r>
      <w:r w:rsidRPr="00380E5C">
        <w:rPr>
          <w:rFonts w:eastAsia="Times New Roman"/>
          <w:color w:val="000000" w:themeColor="text1"/>
          <w:szCs w:val="20"/>
          <w:u w:color="000000" w:themeColor="text1"/>
        </w:rPr>
        <w:tab/>
        <w:t>This act takes effect upon approval by the Governor.</w:t>
      </w:r>
    </w:p>
    <w:p w:rsidR="00492A0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92A03" w:rsidRDefault="00492A03" w:rsidP="00233614">
      <w:pPr>
        <w:suppressAutoHyphens/>
        <w:jc w:val="both"/>
        <w:rPr>
          <w:rFonts w:eastAsia="Times New Roman"/>
        </w:rPr>
      </w:pPr>
    </w:p>
    <w:sectPr w:rsidR="00492A03" w:rsidSect="0023361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1D63" w:rsidRDefault="00721D63" w:rsidP="00522CE0">
      <w:r>
        <w:separator/>
      </w:r>
    </w:p>
  </w:endnote>
  <w:endnote w:type="continuationSeparator" w:id="0">
    <w:p w:rsidR="00721D63" w:rsidRDefault="00721D6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8EDCA6-F477-4DA4-9A13-6377D64F5272}"/>
    <w:embedBold r:id="rId2" w:fontKey="{B84E7C50-7006-4236-9149-4220085146E7}"/>
  </w:font>
  <w:font w:name="Calibri">
    <w:panose1 w:val="020F0502020204030204"/>
    <w:charset w:val="00"/>
    <w:family w:val="swiss"/>
    <w:pitch w:val="variable"/>
    <w:sig w:usb0="E10002FF" w:usb1="4000ACFF" w:usb2="00000009" w:usb3="00000000" w:csb0="0000019F" w:csb1="00000000"/>
    <w:embedRegular r:id="rId3" w:fontKey="{738EF609-6E7B-40F9-B95D-F62EF80C5F02}"/>
    <w:embedBold r:id="rId4" w:fontKey="{009DE2CD-C4DB-4A53-8FF8-1A59384328F0}"/>
  </w:font>
  <w:font w:name="Cambria">
    <w:panose1 w:val="02040503050406030204"/>
    <w:charset w:val="00"/>
    <w:family w:val="roman"/>
    <w:pitch w:val="variable"/>
    <w:sig w:usb0="E00002FF" w:usb1="400004FF" w:usb2="00000000" w:usb3="00000000" w:csb0="0000019F" w:csb1="00000000"/>
    <w:embedRegular r:id="rId5" w:fontKey="{61304649-FF1F-45B8-A2C7-EE28BF636D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614" w:rsidRPr="00492A03" w:rsidRDefault="00233614" w:rsidP="00492A03">
    <w:pPr>
      <w:pStyle w:val="Footer"/>
      <w:tabs>
        <w:tab w:val="clear" w:pos="4680"/>
        <w:tab w:val="clear" w:pos="9360"/>
        <w:tab w:val="center" w:pos="2995"/>
      </w:tabs>
      <w:spacing w:before="120"/>
    </w:pPr>
    <w:r>
      <w:t>[866]</w:t>
    </w:r>
    <w:r>
      <w:tab/>
    </w:r>
    <w:r w:rsidR="006248B5">
      <w:fldChar w:fldCharType="begin"/>
    </w:r>
    <w:r w:rsidR="006248B5">
      <w:instrText xml:space="preserve"> PAGE  \* MERGEFORMAT </w:instrText>
    </w:r>
    <w:r w:rsidR="006248B5">
      <w:fldChar w:fldCharType="separate"/>
    </w:r>
    <w:r w:rsidR="006248B5">
      <w:rPr>
        <w:noProof/>
      </w:rPr>
      <w:t>1</w:t>
    </w:r>
    <w:r w:rsidR="006248B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1D63" w:rsidRDefault="00721D63" w:rsidP="00522CE0">
      <w:r>
        <w:separator/>
      </w:r>
    </w:p>
  </w:footnote>
  <w:footnote w:type="continuationSeparator" w:id="0">
    <w:p w:rsidR="00721D63" w:rsidRDefault="00721D6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8241"/>
  </w:hdrShapeDefaults>
  <w:footnotePr>
    <w:footnote w:id="-1"/>
    <w:footnote w:id="0"/>
  </w:footnotePr>
  <w:endnotePr>
    <w:endnote w:id="-1"/>
    <w:endnote w:id="0"/>
  </w:endnotePr>
  <w:compat>
    <w:compatSetting w:name="compatibilityMode" w:uri="http://schemas.microsoft.com/office/word" w:val="12"/>
  </w:compat>
  <w:docVars>
    <w:docVar w:name="clipname" w:val="JUD0116.JJG"/>
    <w:docVar w:name="CoverAttorneyInitials" w:val="JJG"/>
    <w:docVar w:name="CoverAttorneyLastName" w:val="Gentry"/>
    <w:docVar w:name="CoverBillType" w:val="b"/>
    <w:docVar w:name="DraftFileName" w:val="JUD0116.JJG.DOCX"/>
    <w:docVar w:name="DraftStenoName" w:val="Craft"/>
    <w:docVar w:name="dvBillNumber" w:val="866"/>
    <w:docVar w:name="dvBillNumberPrefix" w:val="S. "/>
    <w:docVar w:name="dvOriginalBody" w:val="Senate"/>
    <w:docVar w:name="fulldraftpath" w:val="L:\S-JUD\BILLS\McConnell\JUD0116.JJG.DOCX"/>
    <w:docVar w:name="NameofBody" w:val="S"/>
    <w:docVar w:name="SenatorFolderName" w:val="McConnell"/>
    <w:docVar w:name="VGROUP2" w:val="S-JUD"/>
  </w:docVars>
  <w:rsids>
    <w:rsidRoot w:val="00451802"/>
    <w:rsid w:val="00011AEA"/>
    <w:rsid w:val="000141EB"/>
    <w:rsid w:val="00042AC1"/>
    <w:rsid w:val="00046516"/>
    <w:rsid w:val="00095CBC"/>
    <w:rsid w:val="000A4D08"/>
    <w:rsid w:val="000A6988"/>
    <w:rsid w:val="000B0720"/>
    <w:rsid w:val="000B5EAF"/>
    <w:rsid w:val="000E473B"/>
    <w:rsid w:val="000F002B"/>
    <w:rsid w:val="00107C3D"/>
    <w:rsid w:val="00126995"/>
    <w:rsid w:val="00141588"/>
    <w:rsid w:val="00160196"/>
    <w:rsid w:val="0016543B"/>
    <w:rsid w:val="001654DA"/>
    <w:rsid w:val="00170561"/>
    <w:rsid w:val="00186AC9"/>
    <w:rsid w:val="00190F47"/>
    <w:rsid w:val="00197DF1"/>
    <w:rsid w:val="001B3DD9"/>
    <w:rsid w:val="001D3BAC"/>
    <w:rsid w:val="00206D3D"/>
    <w:rsid w:val="00233614"/>
    <w:rsid w:val="00241A38"/>
    <w:rsid w:val="0024519E"/>
    <w:rsid w:val="00245C4E"/>
    <w:rsid w:val="00254877"/>
    <w:rsid w:val="002C5896"/>
    <w:rsid w:val="00307C2B"/>
    <w:rsid w:val="0031409E"/>
    <w:rsid w:val="00333DF1"/>
    <w:rsid w:val="0033541C"/>
    <w:rsid w:val="00364389"/>
    <w:rsid w:val="00380E5C"/>
    <w:rsid w:val="003D6A5D"/>
    <w:rsid w:val="003D6E2B"/>
    <w:rsid w:val="003E7597"/>
    <w:rsid w:val="00412C9E"/>
    <w:rsid w:val="00413DBC"/>
    <w:rsid w:val="00450668"/>
    <w:rsid w:val="00451802"/>
    <w:rsid w:val="00452CD7"/>
    <w:rsid w:val="00461752"/>
    <w:rsid w:val="00477696"/>
    <w:rsid w:val="004871C9"/>
    <w:rsid w:val="00492A03"/>
    <w:rsid w:val="004952FA"/>
    <w:rsid w:val="004A592F"/>
    <w:rsid w:val="004B6A22"/>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C3EE7"/>
    <w:rsid w:val="005F15E4"/>
    <w:rsid w:val="00602800"/>
    <w:rsid w:val="00606D23"/>
    <w:rsid w:val="006248B5"/>
    <w:rsid w:val="00641A16"/>
    <w:rsid w:val="006431BA"/>
    <w:rsid w:val="00686121"/>
    <w:rsid w:val="006B4B3C"/>
    <w:rsid w:val="006C74EA"/>
    <w:rsid w:val="00720D40"/>
    <w:rsid w:val="00721D63"/>
    <w:rsid w:val="007318D4"/>
    <w:rsid w:val="00746551"/>
    <w:rsid w:val="00765784"/>
    <w:rsid w:val="007701FD"/>
    <w:rsid w:val="007A4390"/>
    <w:rsid w:val="007C65B0"/>
    <w:rsid w:val="007E3B8F"/>
    <w:rsid w:val="007E5CB7"/>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C118A"/>
    <w:rsid w:val="009F1631"/>
    <w:rsid w:val="00A02011"/>
    <w:rsid w:val="00A203D5"/>
    <w:rsid w:val="00A35165"/>
    <w:rsid w:val="00A4011E"/>
    <w:rsid w:val="00A40751"/>
    <w:rsid w:val="00A86015"/>
    <w:rsid w:val="00AE59C8"/>
    <w:rsid w:val="00B030B6"/>
    <w:rsid w:val="00B10098"/>
    <w:rsid w:val="00B10E10"/>
    <w:rsid w:val="00B35389"/>
    <w:rsid w:val="00B40643"/>
    <w:rsid w:val="00B450FF"/>
    <w:rsid w:val="00B84793"/>
    <w:rsid w:val="00B945C5"/>
    <w:rsid w:val="00BA20EA"/>
    <w:rsid w:val="00BC0A56"/>
    <w:rsid w:val="00C23348"/>
    <w:rsid w:val="00C6454A"/>
    <w:rsid w:val="00C74052"/>
    <w:rsid w:val="00CB187A"/>
    <w:rsid w:val="00CD1010"/>
    <w:rsid w:val="00CD7C71"/>
    <w:rsid w:val="00D033AB"/>
    <w:rsid w:val="00D1088B"/>
    <w:rsid w:val="00D156D2"/>
    <w:rsid w:val="00D77EC0"/>
    <w:rsid w:val="00D86943"/>
    <w:rsid w:val="00DA47B9"/>
    <w:rsid w:val="00E677A1"/>
    <w:rsid w:val="00E91E2F"/>
    <w:rsid w:val="00EA3546"/>
    <w:rsid w:val="00EB1AAC"/>
    <w:rsid w:val="00EB47AE"/>
    <w:rsid w:val="00EC34E1"/>
    <w:rsid w:val="00ED0AE1"/>
    <w:rsid w:val="00EF5D1E"/>
    <w:rsid w:val="00F011F8"/>
    <w:rsid w:val="00F0234A"/>
    <w:rsid w:val="00F242E1"/>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8241"/>
    <o:shapelayout v:ext="edit">
      <o:idmap v:ext="edit" data="1"/>
    </o:shapelayout>
  </w:shapeDefaults>
  <w:doNotEmbedSmartTags/>
  <w:decimalSymbol w:val="."/>
  <w:listSeparator w:val=","/>
  <w15:docId w15:val="{5BDECFAB-3BDE-4250-99A7-00DABA693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2336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866_20110503.docx" TargetMode="External"/><Relationship Id="rId3" Type="http://schemas.openxmlformats.org/officeDocument/2006/relationships/webSettings" Target="webSettings.xml"/><Relationship Id="rId7" Type="http://schemas.openxmlformats.org/officeDocument/2006/relationships/hyperlink" Target="file:///h:\sj%20archive\2011\05-03-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5-03-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587</Words>
  <Characters>3140</Characters>
  <Application>Microsoft Office Word</Application>
  <DocSecurity>4</DocSecurity>
  <Lines>103</Lines>
  <Paragraphs>32</Paragraphs>
  <ScaleCrop>false</ScaleCrop>
  <Company> </Company>
  <LinksUpToDate>false</LinksUpToDate>
  <CharactersWithSpaces>3724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866: Post-conviction relief proceedings - South Carolina Legislature Online</dc:title>
  <dc:subject/>
  <dc:creator>SusanCraft</dc:creator>
  <cp:keywords/>
  <dc:description/>
  <cp:lastModifiedBy>N Cumfer</cp:lastModifiedBy>
  <cp:revision>2</cp:revision>
  <dcterms:created xsi:type="dcterms:W3CDTF">2014-11-21T20:55:00Z</dcterms:created>
  <dcterms:modified xsi:type="dcterms:W3CDTF">2014-11-21T20:55:00Z</dcterms:modified>
</cp:coreProperties>
</file>