
<file path=[Content_Types].xml><?xml version="1.0" encoding="utf-8"?>
<Types xmlns="http://schemas.openxmlformats.org/package/2006/content-types">
  <Override PartName="/word/footnotes.xml" ContentType="application/vnd.openxmlformats-officedocument.wordprocessingml.footnot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2610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0" w:name="billhead"/>
      <w:bookmarkEnd w:id="0"/>
      <w:r w:rsidRPr="008F023B">
        <w:rPr>
          <w:rFonts w:eastAsia="Times New Roman"/>
          <w:b/>
          <w:sz w:val="30"/>
          <w:szCs w:val="30"/>
        </w:rPr>
        <w:t xml:space="preserve">A </w:t>
      </w:r>
      <w:bookmarkStart w:id="1" w:name="whattype"/>
      <w:bookmarkEnd w:id="1"/>
      <w:r w:rsidR="00FF213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F63859" w:rsidP="00F3548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rPr>
      </w:pPr>
      <w:bookmarkStart w:id="2" w:name="titletop"/>
      <w:bookmarkEnd w:id="2"/>
      <w:r>
        <w:rPr>
          <w:rFonts w:eastAsia="Times New Roman"/>
        </w:rPr>
        <w:t xml:space="preserve">TO AMEND CHAPTER 3, TITLE </w:t>
      </w:r>
      <w:r w:rsidR="00F60F6F">
        <w:rPr>
          <w:rFonts w:eastAsia="Times New Roman"/>
        </w:rPr>
        <w:t>5</w:t>
      </w:r>
      <w:r>
        <w:rPr>
          <w:rFonts w:eastAsia="Times New Roman"/>
        </w:rPr>
        <w:t>7</w:t>
      </w:r>
      <w:r w:rsidR="00D7668B">
        <w:rPr>
          <w:rFonts w:eastAsia="Times New Roman"/>
        </w:rPr>
        <w:t xml:space="preserve"> OF THE 1976 CODE</w:t>
      </w:r>
      <w:r>
        <w:rPr>
          <w:rFonts w:eastAsia="Times New Roman"/>
        </w:rPr>
        <w:t xml:space="preserve">, RELATING TO THE DEPARTMENT OF TRANSPORTATION, BY ADDING ARTICLE 3, PUBLIC-PRIVATE INITIATIVES, TO PROVIDE THAT THE DEPARTMENT OF TRANSPORTATION MAY SOLICIT PROPOSALS FOR PUBLIC-PRIVATE INITIATIVES FROM PRIVATE ENTITIES, TO PROVIDE FOR THE PROPOSAL REQUEST AND SUBMISSION PROCESS, TO PROVIDE FOR THE PROCESS OF SELECTING A PRIVATE ENTITY TO PARTICIPATE IN A PUBLIC-PRIVATE INITIATIVE, TO PROVIDE FOR INTERIM AND COMPREHENSIVE AGREEMENTS TO CARRY OUT THE TERMS OF THE PUBLIC-PRIVATE INITIATIVE, TO PROVIDE REQUIREMENTS FOR INTERIM AND COMPREHENSIVE AGREEMENTS, TO PROVIDE FOR PERMISSIBLE FINANCING OF THE PUBLIC-PRIVATE INITIATIVE, </w:t>
      </w:r>
      <w:r w:rsidR="00246852">
        <w:rPr>
          <w:rFonts w:eastAsia="Times New Roman"/>
        </w:rPr>
        <w:t xml:space="preserve">AND </w:t>
      </w:r>
      <w:r>
        <w:rPr>
          <w:rFonts w:eastAsia="Times New Roman"/>
        </w:rPr>
        <w:t>TO PROVIDE THAT THE DEPARTMENT OF TRANSPORTATION MAY EXERCISE THE POWER OF EMINENT DOMAIN IN CONJUNCTION WITH A PUBLIC-PRIVATE INITIATIVE; TO AMEND CHAPTER 3, TITLE 57, BY ADDING ARTICLE 9, TO PROVIDE THAT TOLLS MAY NOT BE IMPOSED ON FEDERAL INTERSTATE HIGHWAYS UNLESS APPROVED BY THE GENERAL ASSEMBLY, TO PROVIDE THAT THE DEPARTMENT OF TRANSPORTATION MAY IMPOSE A TOLL ON INTERSTATE 73, TO PROVIDE THAT TOLLS IMPOSED AND COLLECTED ON A PROJECT MUST BE USED ONLY TO PAY COSTS ASSOCIATED WITH THE TOLL ROAD AND TO DEFINE THE TERM “TOLLS ASSOCIATED WITH THE TOLL ROAD”, TO PROVIDE THAT A PERSON WHO FAILS TO PAY A TOLL IS GUILTY OF A MISDEMEANOR</w:t>
      </w:r>
      <w:r w:rsidR="006375E9">
        <w:rPr>
          <w:rFonts w:eastAsia="Times New Roman"/>
        </w:rPr>
        <w:t xml:space="preserve">, </w:t>
      </w:r>
      <w:r>
        <w:rPr>
          <w:rFonts w:eastAsia="Times New Roman"/>
        </w:rPr>
        <w:t xml:space="preserve">TO PROVIDE PUNISHMENT FOR VIOLATIONS, </w:t>
      </w:r>
      <w:r w:rsidR="006375E9">
        <w:rPr>
          <w:rFonts w:eastAsia="Times New Roman"/>
        </w:rPr>
        <w:t xml:space="preserve">AND </w:t>
      </w:r>
      <w:r>
        <w:rPr>
          <w:rFonts w:eastAsia="Times New Roman"/>
        </w:rPr>
        <w:t xml:space="preserve">TO PROVIDE FOR AN ELECTRONIC TOLLING SYSTEM; TO </w:t>
      </w:r>
      <w:r>
        <w:rPr>
          <w:rFonts w:eastAsia="Times New Roman"/>
        </w:rPr>
        <w:lastRenderedPageBreak/>
        <w:t xml:space="preserve">AMEND </w:t>
      </w:r>
      <w:r w:rsidR="00F60F6F">
        <w:rPr>
          <w:rFonts w:eastAsia="Times New Roman"/>
          <w:u w:color="000000" w:themeColor="text1"/>
        </w:rPr>
        <w:t xml:space="preserve">CHAPTER 35, TITLE 11, </w:t>
      </w:r>
      <w:r>
        <w:rPr>
          <w:rFonts w:eastAsia="Times New Roman"/>
          <w:u w:color="000000" w:themeColor="text1"/>
        </w:rPr>
        <w:t>BY ADDING SECTION 11</w:t>
      </w:r>
      <w:r>
        <w:rPr>
          <w:rFonts w:eastAsia="Times New Roman"/>
          <w:u w:color="000000" w:themeColor="text1"/>
        </w:rPr>
        <w:noBreakHyphen/>
      </w:r>
      <w:r w:rsidR="00E31757">
        <w:rPr>
          <w:rFonts w:eastAsia="Times New Roman"/>
          <w:u w:color="000000" w:themeColor="text1"/>
        </w:rPr>
        <w:t>35</w:t>
      </w:r>
      <w:r w:rsidR="00E31757">
        <w:rPr>
          <w:rFonts w:eastAsia="Times New Roman"/>
          <w:u w:color="000000" w:themeColor="text1"/>
        </w:rPr>
        <w:noBreakHyphen/>
        <w:t>3075, TO PROVIDE THAT PUBLIC-</w:t>
      </w:r>
      <w:r>
        <w:rPr>
          <w:rFonts w:eastAsia="Times New Roman"/>
          <w:u w:color="000000" w:themeColor="text1"/>
        </w:rPr>
        <w:t xml:space="preserve">PRIVATE INITIATIVES ARE SUBJECT TO THE PROCUREMENT CODE AND TO PROVIDE EXEMPTIONS; </w:t>
      </w:r>
      <w:r w:rsidR="004F2A0B" w:rsidRPr="004F2A0B">
        <w:rPr>
          <w:rFonts w:eastAsia="Times New Roman"/>
        </w:rPr>
        <w:t>TO AMEND SECTION 11</w:t>
      </w:r>
      <w:r w:rsidR="004F2A0B" w:rsidRPr="004F2A0B">
        <w:rPr>
          <w:rFonts w:eastAsia="Times New Roman"/>
        </w:rPr>
        <w:noBreakHyphen/>
        <w:t>35</w:t>
      </w:r>
      <w:r w:rsidR="004F2A0B" w:rsidRPr="004F2A0B">
        <w:rPr>
          <w:rFonts w:eastAsia="Times New Roman"/>
        </w:rPr>
        <w:noBreakHyphen/>
        <w:t>710</w:t>
      </w:r>
      <w:r w:rsidR="00D7668B">
        <w:rPr>
          <w:rFonts w:eastAsia="Times New Roman"/>
        </w:rPr>
        <w:t xml:space="preserve">, TO PROVIDE </w:t>
      </w:r>
      <w:r w:rsidR="004F2A0B" w:rsidRPr="004F2A0B">
        <w:rPr>
          <w:rFonts w:eastAsia="Times New Roman"/>
        </w:rPr>
        <w:t>THAT ITS PROVISIONS AR</w:t>
      </w:r>
      <w:r w:rsidR="00D7668B">
        <w:rPr>
          <w:rFonts w:eastAsia="Times New Roman"/>
        </w:rPr>
        <w:t>E SUBJECT TO SECTION 11</w:t>
      </w:r>
      <w:r w:rsidR="00D7668B">
        <w:rPr>
          <w:rFonts w:eastAsia="Times New Roman"/>
        </w:rPr>
        <w:noBreakHyphen/>
        <w:t>35</w:t>
      </w:r>
      <w:r w:rsidR="00D7668B">
        <w:rPr>
          <w:rFonts w:eastAsia="Times New Roman"/>
        </w:rPr>
        <w:noBreakHyphen/>
        <w:t>3075;</w:t>
      </w:r>
      <w:r w:rsidR="0026167A">
        <w:rPr>
          <w:rFonts w:eastAsia="Times New Roman"/>
        </w:rPr>
        <w:t xml:space="preserve"> </w:t>
      </w:r>
      <w:r>
        <w:rPr>
          <w:rFonts w:eastAsia="Times New Roman"/>
          <w:u w:color="000000" w:themeColor="text1"/>
        </w:rPr>
        <w:t xml:space="preserve">TO AMEND </w:t>
      </w:r>
      <w:r>
        <w:rPr>
          <w:rFonts w:eastAsia="MS Mincho"/>
          <w:szCs w:val="20"/>
          <w:u w:color="000000" w:themeColor="text1"/>
        </w:rPr>
        <w:t>SECTION 11</w:t>
      </w:r>
      <w:r>
        <w:rPr>
          <w:rFonts w:eastAsia="MS Mincho"/>
          <w:szCs w:val="20"/>
          <w:u w:color="000000" w:themeColor="text1"/>
        </w:rPr>
        <w:noBreakHyphen/>
        <w:t>35</w:t>
      </w:r>
      <w:r>
        <w:rPr>
          <w:rFonts w:eastAsia="MS Mincho"/>
          <w:szCs w:val="20"/>
          <w:u w:color="000000" w:themeColor="text1"/>
        </w:rPr>
        <w:noBreakHyphen/>
        <w:t>40</w:t>
      </w:r>
      <w:r w:rsidR="00F37E6A">
        <w:rPr>
          <w:rFonts w:eastAsia="MS Mincho"/>
          <w:szCs w:val="20"/>
          <w:u w:color="000000" w:themeColor="text1"/>
        </w:rPr>
        <w:t xml:space="preserve">, </w:t>
      </w:r>
      <w:r>
        <w:rPr>
          <w:rFonts w:eastAsia="MS Mincho"/>
          <w:szCs w:val="20"/>
          <w:u w:color="000000" w:themeColor="text1"/>
        </w:rPr>
        <w:t xml:space="preserve">TO PROVIDE FOR THE </w:t>
      </w:r>
      <w:r w:rsidR="00E31757">
        <w:rPr>
          <w:rFonts w:eastAsia="MS Mincho"/>
          <w:szCs w:val="20"/>
          <w:u w:color="000000" w:themeColor="text1"/>
        </w:rPr>
        <w:t>CIRCUMSTANCES IN WHICH A PUBLIC-</w:t>
      </w:r>
      <w:r>
        <w:rPr>
          <w:rFonts w:eastAsia="MS Mincho"/>
          <w:szCs w:val="20"/>
          <w:u w:color="000000" w:themeColor="text1"/>
        </w:rPr>
        <w:t xml:space="preserve">PRIVATE INITIATIVE SOLICITATION MUST IDENTIFY THE IMPACT ON FEDERAL HIGHWAY FUNDS; TO AMEND </w:t>
      </w:r>
      <w:r>
        <w:rPr>
          <w:rFonts w:eastAsia="Times New Roman"/>
          <w:u w:color="000000" w:themeColor="text1"/>
        </w:rPr>
        <w:t>SECTION 57</w:t>
      </w:r>
      <w:r>
        <w:rPr>
          <w:rFonts w:eastAsia="Times New Roman"/>
          <w:u w:color="000000" w:themeColor="text1"/>
        </w:rPr>
        <w:noBreakHyphen/>
        <w:t>5</w:t>
      </w:r>
      <w:r>
        <w:rPr>
          <w:rFonts w:eastAsia="Times New Roman"/>
          <w:u w:color="000000" w:themeColor="text1"/>
        </w:rPr>
        <w:noBreakHyphen/>
        <w:t>1625, TO CLA</w:t>
      </w:r>
      <w:r w:rsidR="00E31757">
        <w:rPr>
          <w:rFonts w:eastAsia="Times New Roman"/>
          <w:u w:color="000000" w:themeColor="text1"/>
        </w:rPr>
        <w:t>RIFY THE DEFINITION OF A DESIGN-</w:t>
      </w:r>
      <w:r>
        <w:rPr>
          <w:rFonts w:eastAsia="Times New Roman"/>
          <w:u w:color="000000" w:themeColor="text1"/>
        </w:rPr>
        <w:t>BUILD PROJECT; TO AMEND SECTION 5</w:t>
      </w:r>
      <w:r w:rsidR="00F65C1A">
        <w:rPr>
          <w:rFonts w:eastAsia="Times New Roman"/>
          <w:u w:color="000000" w:themeColor="text1"/>
        </w:rPr>
        <w:t>7</w:t>
      </w:r>
      <w:r w:rsidR="00F65C1A">
        <w:rPr>
          <w:rFonts w:eastAsia="Times New Roman"/>
          <w:u w:color="000000" w:themeColor="text1"/>
        </w:rPr>
        <w:noBreakHyphen/>
        <w:t>5</w:t>
      </w:r>
      <w:r w:rsidR="00F65C1A">
        <w:rPr>
          <w:rFonts w:eastAsia="Times New Roman"/>
          <w:u w:color="000000" w:themeColor="text1"/>
        </w:rPr>
        <w:noBreakHyphen/>
        <w:t>1310</w:t>
      </w:r>
      <w:r w:rsidR="00D7668B">
        <w:rPr>
          <w:rFonts w:eastAsia="Times New Roman"/>
          <w:u w:color="000000" w:themeColor="text1"/>
        </w:rPr>
        <w:t>,</w:t>
      </w:r>
      <w:r w:rsidR="00F65C1A">
        <w:rPr>
          <w:rFonts w:eastAsia="Times New Roman"/>
          <w:u w:color="000000" w:themeColor="text1"/>
        </w:rPr>
        <w:t xml:space="preserve"> TO PROVIDE THAT PUBLIC-</w:t>
      </w:r>
      <w:r>
        <w:rPr>
          <w:rFonts w:eastAsia="Times New Roman"/>
          <w:u w:color="000000" w:themeColor="text1"/>
        </w:rPr>
        <w:t>PRIVATE PARTNERSHIPS MAY BE UTILIZED ON NEW PROJECTS AND FOR IMPROVEMENTS TO EXISTING HIGHWAYS AND ROADS; TO AMEND SECTION 57</w:t>
      </w:r>
      <w:r>
        <w:rPr>
          <w:rFonts w:eastAsia="Times New Roman"/>
          <w:u w:color="000000" w:themeColor="text1"/>
        </w:rPr>
        <w:noBreakHyphen/>
        <w:t>5</w:t>
      </w:r>
      <w:r>
        <w:rPr>
          <w:rFonts w:eastAsia="Times New Roman"/>
          <w:u w:color="000000" w:themeColor="text1"/>
        </w:rPr>
        <w:noBreakHyphen/>
        <w:t>1320</w:t>
      </w:r>
      <w:r w:rsidR="00F37E6A">
        <w:rPr>
          <w:rFonts w:eastAsia="Times New Roman"/>
          <w:u w:color="000000" w:themeColor="text1"/>
        </w:rPr>
        <w:t xml:space="preserve">, </w:t>
      </w:r>
      <w:r>
        <w:rPr>
          <w:rFonts w:eastAsia="Times New Roman"/>
          <w:u w:color="000000" w:themeColor="text1"/>
        </w:rPr>
        <w:t xml:space="preserve">TO PROVIDE THAT THE DEFINITION OF </w:t>
      </w:r>
      <w:r w:rsidR="00D7668B">
        <w:rPr>
          <w:rFonts w:eastAsia="Times New Roman"/>
          <w:u w:color="000000" w:themeColor="text1"/>
        </w:rPr>
        <w:t>“</w:t>
      </w:r>
      <w:r>
        <w:rPr>
          <w:rFonts w:eastAsia="Times New Roman"/>
          <w:u w:color="000000" w:themeColor="text1"/>
        </w:rPr>
        <w:t>TURNPIKE FACILITY</w:t>
      </w:r>
      <w:r w:rsidR="00D7668B">
        <w:rPr>
          <w:rFonts w:eastAsia="Times New Roman"/>
          <w:u w:color="000000" w:themeColor="text1"/>
        </w:rPr>
        <w:t>”</w:t>
      </w:r>
      <w:r>
        <w:rPr>
          <w:rFonts w:eastAsia="Times New Roman"/>
          <w:u w:color="000000" w:themeColor="text1"/>
        </w:rPr>
        <w:t xml:space="preserve"> INCLUDES  </w:t>
      </w:r>
      <w:r w:rsidR="00D7668B">
        <w:rPr>
          <w:rFonts w:eastAsia="Times New Roman"/>
          <w:u w:color="000000" w:themeColor="text1"/>
        </w:rPr>
        <w:t xml:space="preserve">AN </w:t>
      </w:r>
      <w:r>
        <w:rPr>
          <w:rFonts w:eastAsia="Times New Roman"/>
          <w:u w:color="000000" w:themeColor="text1"/>
        </w:rPr>
        <w:t xml:space="preserve">EXPRESS HIGHWAY OR LIMITED ACCESS HIGHWAY </w:t>
      </w:r>
      <w:r w:rsidRPr="00F35482">
        <w:rPr>
          <w:rFonts w:eastAsia="Times New Roman"/>
        </w:rPr>
        <w:t xml:space="preserve">OR </w:t>
      </w:r>
      <w:r w:rsidR="00D7668B">
        <w:rPr>
          <w:rFonts w:eastAsia="Times New Roman"/>
        </w:rPr>
        <w:t xml:space="preserve">A </w:t>
      </w:r>
      <w:r w:rsidRPr="00F35482">
        <w:rPr>
          <w:rFonts w:eastAsia="Times New Roman"/>
        </w:rPr>
        <w:t>PORTION OF IT AND ADDITIONAL LANES OR CAPACITY ADDED TO IT;</w:t>
      </w:r>
      <w:r>
        <w:rPr>
          <w:rFonts w:eastAsia="Times New Roman"/>
        </w:rPr>
        <w:t xml:space="preserve"> </w:t>
      </w:r>
      <w:r w:rsidR="00F37E6A">
        <w:rPr>
          <w:rFonts w:eastAsia="Times New Roman"/>
          <w:u w:color="000000" w:themeColor="text1"/>
        </w:rPr>
        <w:t xml:space="preserve">TO AMEND </w:t>
      </w:r>
      <w:r>
        <w:rPr>
          <w:rFonts w:eastAsia="Times New Roman"/>
          <w:u w:color="000000" w:themeColor="text1"/>
        </w:rPr>
        <w:t>SECTION 57</w:t>
      </w:r>
      <w:r>
        <w:rPr>
          <w:rFonts w:eastAsia="Times New Roman"/>
          <w:u w:color="000000" w:themeColor="text1"/>
        </w:rPr>
        <w:noBreakHyphen/>
        <w:t>5</w:t>
      </w:r>
      <w:r>
        <w:rPr>
          <w:rFonts w:eastAsia="Times New Roman"/>
          <w:u w:color="000000" w:themeColor="text1"/>
        </w:rPr>
        <w:noBreakHyphen/>
        <w:t>1330</w:t>
      </w:r>
      <w:r w:rsidR="00F37E6A">
        <w:rPr>
          <w:rFonts w:eastAsia="Times New Roman"/>
          <w:u w:color="000000" w:themeColor="text1"/>
        </w:rPr>
        <w:t xml:space="preserve">, </w:t>
      </w:r>
      <w:r>
        <w:rPr>
          <w:rFonts w:eastAsia="Times New Roman"/>
          <w:u w:color="000000" w:themeColor="text1"/>
        </w:rPr>
        <w:t xml:space="preserve">TO PROVIDE THAT THE STATE MAY NOT DESIGNATE A TRANSPORTATION FACILITY AS A TURNPIKE FACILITY IF THE FACILITY WAS FULLY FUNDED BY A LOCAL OPTION SALES AND USE TAX AS PROVIDED IN CHAPTER 37 OF TITLE 4; TO AMEND </w:t>
      </w:r>
      <w:r>
        <w:t>SECTION 57</w:t>
      </w:r>
      <w:r>
        <w:noBreakHyphen/>
        <w:t>5</w:t>
      </w:r>
      <w:r>
        <w:noBreakHyphen/>
        <w:t>1660, TO PROVIDE FOR CONTRAC</w:t>
      </w:r>
      <w:r w:rsidR="00E31757">
        <w:t>TOR BONDS REQUIRED IN A PUBLIC-</w:t>
      </w:r>
      <w:r>
        <w:t>PRIVATE PARTNERSHIP PROJECT AND DESIGN</w:t>
      </w:r>
      <w:r w:rsidR="00E31757">
        <w:t>-</w:t>
      </w:r>
      <w:r>
        <w:t xml:space="preserve">BUILD PROJECTS; </w:t>
      </w:r>
      <w:r w:rsidR="004F2A0B">
        <w:t>TO AMEND SECTION</w:t>
      </w:r>
      <w:r w:rsidR="004F2A0B">
        <w:rPr>
          <w:rFonts w:eastAsia="Times New Roman"/>
          <w:u w:color="000000" w:themeColor="text1"/>
        </w:rPr>
        <w:t xml:space="preserve"> 40</w:t>
      </w:r>
      <w:r w:rsidR="004F2A0B">
        <w:rPr>
          <w:rFonts w:eastAsia="Times New Roman"/>
          <w:u w:color="000000" w:themeColor="text1"/>
        </w:rPr>
        <w:noBreakHyphen/>
        <w:t>11</w:t>
      </w:r>
      <w:r w:rsidR="004F2A0B">
        <w:rPr>
          <w:rFonts w:eastAsia="Times New Roman"/>
          <w:u w:color="000000" w:themeColor="text1"/>
        </w:rPr>
        <w:noBreakHyphen/>
        <w:t>360</w:t>
      </w:r>
      <w:r w:rsidR="00D7668B">
        <w:rPr>
          <w:rFonts w:eastAsia="Times New Roman"/>
          <w:u w:color="000000" w:themeColor="text1"/>
        </w:rPr>
        <w:t xml:space="preserve">, </w:t>
      </w:r>
      <w:r w:rsidR="004F2A0B">
        <w:rPr>
          <w:rFonts w:eastAsia="Times New Roman"/>
          <w:u w:color="000000" w:themeColor="text1"/>
        </w:rPr>
        <w:t>TO CONFORM THE SECTION TO ARTICLE 3, CHAPTER 3, TITLE 57;</w:t>
      </w:r>
      <w:r w:rsidR="0026167A">
        <w:rPr>
          <w:rFonts w:eastAsia="Times New Roman"/>
          <w:u w:color="000000" w:themeColor="text1"/>
        </w:rPr>
        <w:t xml:space="preserve"> </w:t>
      </w:r>
      <w:r>
        <w:t xml:space="preserve">TO PROVIDE THAT </w:t>
      </w:r>
      <w:r>
        <w:rPr>
          <w:rFonts w:eastAsia="Times New Roman"/>
          <w:u w:color="000000" w:themeColor="text1"/>
        </w:rPr>
        <w:t>IT IS THE INTENT OF THE GENERAL ASSEMBLY THAT PUBLIC</w:t>
      </w:r>
      <w:r>
        <w:rPr>
          <w:rFonts w:eastAsia="Times New Roman"/>
          <w:u w:color="000000" w:themeColor="text1"/>
        </w:rPr>
        <w:noBreakHyphen/>
        <w:t xml:space="preserve">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 TO REPEAL SECTIONS </w:t>
      </w:r>
      <w:r>
        <w:rPr>
          <w:u w:color="000000" w:themeColor="text1"/>
        </w:rPr>
        <w:t>12</w:t>
      </w:r>
      <w:r>
        <w:rPr>
          <w:u w:color="000000" w:themeColor="text1"/>
        </w:rPr>
        <w:noBreakHyphen/>
        <w:t>28</w:t>
      </w:r>
      <w:r>
        <w:rPr>
          <w:u w:color="000000" w:themeColor="text1"/>
        </w:rPr>
        <w:noBreakHyphen/>
        <w:t>2920, 57</w:t>
      </w:r>
      <w:r>
        <w:rPr>
          <w:u w:color="000000" w:themeColor="text1"/>
        </w:rPr>
        <w:noBreakHyphen/>
        <w:t>3</w:t>
      </w:r>
      <w:r>
        <w:rPr>
          <w:u w:color="000000" w:themeColor="text1"/>
        </w:rPr>
        <w:noBreakHyphen/>
        <w:t>200, 57</w:t>
      </w:r>
      <w:r>
        <w:rPr>
          <w:u w:color="000000" w:themeColor="text1"/>
        </w:rPr>
        <w:noBreakHyphen/>
        <w:t>3</w:t>
      </w:r>
      <w:r>
        <w:rPr>
          <w:u w:color="000000" w:themeColor="text1"/>
        </w:rPr>
        <w:noBreakHyphen/>
        <w:t>615, 57</w:t>
      </w:r>
      <w:r>
        <w:rPr>
          <w:u w:color="000000" w:themeColor="text1"/>
        </w:rPr>
        <w:noBreakHyphen/>
        <w:t>3</w:t>
      </w:r>
      <w:r>
        <w:rPr>
          <w:u w:color="000000" w:themeColor="text1"/>
        </w:rPr>
        <w:noBreakHyphen/>
        <w:t>618, 57</w:t>
      </w:r>
      <w:r>
        <w:rPr>
          <w:u w:color="000000" w:themeColor="text1"/>
        </w:rPr>
        <w:noBreakHyphen/>
        <w:t>5</w:t>
      </w:r>
      <w:r>
        <w:rPr>
          <w:u w:color="000000" w:themeColor="text1"/>
        </w:rPr>
        <w:noBreakHyphen/>
        <w:t>1490, AND 57</w:t>
      </w:r>
      <w:r>
        <w:rPr>
          <w:u w:color="000000" w:themeColor="text1"/>
        </w:rPr>
        <w:noBreakHyphen/>
        <w:t>5</w:t>
      </w:r>
      <w:r>
        <w:rPr>
          <w:u w:color="000000" w:themeColor="text1"/>
        </w:rPr>
        <w:noBreakHyphen/>
        <w:t>1495; AND TO MAKE OTHER TECHNICAL AND CONFORMING AMENDMENTS.</w:t>
      </w:r>
    </w:p>
    <w:p w:rsidR="00FF2133" w:rsidRDefault="00FF2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end"/>
      <w:bookmarkEnd w:id="3"/>
    </w:p>
    <w:p w:rsidR="00FF2133" w:rsidRDefault="00FF2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lastRenderedPageBreak/>
        <w:t>Be it enacted by the General Assembly of the State of South Carolina:</w:t>
      </w:r>
    </w:p>
    <w:p w:rsidR="00FF2133" w:rsidRDefault="00FF213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1.</w:t>
      </w:r>
      <w:r>
        <w:rPr>
          <w:rFonts w:eastAsia="Times New Roman"/>
          <w:u w:color="000000" w:themeColor="text1"/>
        </w:rPr>
        <w:tab/>
        <w:t>This act may be referred to and cited as the “Transportation Infrastructure Funding Flexibility Act”.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2.</w:t>
      </w:r>
      <w:r>
        <w:rPr>
          <w:rFonts w:eastAsia="Times New Roman"/>
          <w:u w:color="000000" w:themeColor="text1"/>
        </w:rPr>
        <w:tab/>
        <w:t>Chapter 3, Title 57 of the 1976 Code is amended by adding:</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“Article 3</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Public</w:t>
      </w:r>
      <w:r>
        <w:rPr>
          <w:rFonts w:eastAsia="Times New Roman"/>
          <w:u w:color="000000" w:themeColor="text1"/>
        </w:rPr>
        <w:noBreakHyphen/>
        <w:t>Private Initiatives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300.</w:t>
      </w:r>
      <w:r>
        <w:rPr>
          <w:rFonts w:eastAsia="Times New Roman"/>
          <w:u w:color="000000" w:themeColor="text1"/>
        </w:rPr>
        <w:tab/>
        <w:t>As used in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w:t>
      </w:r>
      <w:r>
        <w:rPr>
          <w:rFonts w:eastAsia="Times New Roman"/>
          <w:u w:color="000000" w:themeColor="text1"/>
        </w:rPr>
        <w:tab/>
        <w:t>‘Affected jurisdiction’ means any county, city, town, municipal corporation, or other political subdivision within the State in which all or part of a transportation facility is located or any other public entity directly affected by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(2)</w:t>
      </w:r>
      <w:r>
        <w:rPr>
          <w:rFonts w:eastAsia="Times New Roman"/>
          <w:u w:color="000000" w:themeColor="text1"/>
        </w:rPr>
        <w:tab/>
        <w:t xml:space="preserve">‘Board’ means the State Budget and Control Board.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(3)</w:t>
      </w:r>
      <w:r>
        <w:rPr>
          <w:rFonts w:eastAsia="Times New Roman"/>
          <w:u w:color="000000" w:themeColor="text1"/>
        </w:rPr>
        <w:tab/>
        <w:t>‘Department’ means the South Carolina Department of Transportation.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(4)</w:t>
      </w:r>
      <w:r>
        <w:rPr>
          <w:rFonts w:eastAsia="Times New Roman"/>
          <w:u w:color="000000" w:themeColor="text1"/>
        </w:rPr>
        <w:tab/>
        <w:t>‘Existing transportation facility’ means a transportation facility not subject to a public</w:t>
      </w:r>
      <w:r>
        <w:rPr>
          <w:rFonts w:eastAsia="Times New Roman"/>
          <w:u w:color="000000" w:themeColor="text1"/>
        </w:rPr>
        <w:noBreakHyphen/>
        <w:t>private partnership agreement and open and operating as of January 1, 2009.</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(5)</w:t>
      </w:r>
      <w:r>
        <w:rPr>
          <w:rFonts w:eastAsia="Times New Roman"/>
          <w:u w:color="000000" w:themeColor="text1"/>
        </w:rPr>
        <w:tab/>
        <w:t>‘Independent financial consultant’ means a private entity that the department shall contract with to provide consulting services related to and a critical analysis of the anticipated financial structure of the partnership agreement.  Prior to the execution of the partnership agreement, the consultant’s report must be provided to the Department of Transportation Commission and the State Budget and Control Board.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(6)</w:t>
      </w:r>
      <w:r>
        <w:rPr>
          <w:rFonts w:eastAsia="Times New Roman"/>
          <w:u w:color="000000" w:themeColor="text1"/>
        </w:rPr>
        <w:tab/>
        <w:t>‘Objective index’ means a generally accepted official index sanctioned by the state or federal government intended to measure inflation or economic growth, including, but not limited to, the Consumer Price Index or indices tracking gross domestic product.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(7)</w:t>
      </w:r>
      <w:r>
        <w:rPr>
          <w:rFonts w:eastAsia="Times New Roman"/>
          <w:u w:color="000000" w:themeColor="text1"/>
        </w:rPr>
        <w:tab/>
        <w:t>‘Operator’ means a private entity that is financing, managing, administering, maintaining, improving, equipping, or modifying a transportation facility pursuant to a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(8)</w:t>
      </w:r>
      <w:r>
        <w:rPr>
          <w:rFonts w:eastAsia="Times New Roman"/>
          <w:u w:color="000000" w:themeColor="text1"/>
        </w:rPr>
        <w:tab/>
        <w:t xml:space="preserve">‘Partnership agreement’ means the contract entered into pursuant to this article between a private entity and the department </w:t>
      </w:r>
      <w:r>
        <w:rPr>
          <w:rFonts w:eastAsia="Times New Roman"/>
          <w:u w:color="000000" w:themeColor="text1"/>
        </w:rPr>
        <w:lastRenderedPageBreak/>
        <w:t>containing the terms and conditions under which a public</w:t>
      </w:r>
      <w:r>
        <w:rPr>
          <w:rFonts w:eastAsia="Times New Roman"/>
          <w:u w:color="000000" w:themeColor="text1"/>
        </w:rPr>
        <w:noBreakHyphen/>
        <w:t>private initiative will be carried out.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(9)</w:t>
      </w:r>
      <w:r>
        <w:rPr>
          <w:rFonts w:eastAsia="Times New Roman"/>
          <w:u w:color="000000" w:themeColor="text1"/>
        </w:rPr>
        <w:tab/>
        <w:t>‘Private entity’ means any natural person, corporation, general partnership, limited liability company, limited partnership, joint venture, business trust, public benefit corporation, non</w:t>
      </w:r>
      <w:r>
        <w:rPr>
          <w:rFonts w:eastAsia="Times New Roman"/>
          <w:u w:color="000000" w:themeColor="text1"/>
        </w:rPr>
        <w:noBreakHyphen/>
        <w:t>profit entity, or other business entity.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(10)</w:t>
      </w:r>
      <w:r>
        <w:rPr>
          <w:rFonts w:eastAsia="Times New Roman"/>
          <w:u w:color="000000" w:themeColor="text1"/>
        </w:rPr>
        <w:tab/>
        <w:t>‘Public interest’ means a balancing of the following factors: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(a)</w:t>
      </w:r>
      <w:r>
        <w:rPr>
          <w:rFonts w:eastAsia="Times New Roman"/>
          <w:u w:color="000000" w:themeColor="text1"/>
        </w:rPr>
        <w:tab/>
        <w:t>whether the project under consideration contributes to the general welfare and convenience of the people of this State;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(b)</w:t>
      </w:r>
      <w:r>
        <w:rPr>
          <w:rFonts w:eastAsia="Times New Roman"/>
          <w:u w:color="000000" w:themeColor="text1"/>
        </w:rPr>
        <w:tab/>
        <w:t>whether the project delivery method under consideration is: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w:t>
      </w:r>
      <w:r>
        <w:rPr>
          <w:rFonts w:eastAsia="Times New Roman"/>
          <w:u w:color="000000" w:themeColor="text1"/>
        </w:rPr>
        <w:tab/>
      </w:r>
      <w:r>
        <w:rPr>
          <w:rFonts w:eastAsia="Times New Roman"/>
          <w:u w:color="000000" w:themeColor="text1"/>
        </w:rPr>
        <w:tab/>
        <w:t>the most advantageous to the State and the public as a whole;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(ii)</w:t>
      </w:r>
      <w:r>
        <w:rPr>
          <w:rFonts w:eastAsia="Times New Roman"/>
          <w:u w:color="000000" w:themeColor="text1"/>
        </w:rPr>
        <w:tab/>
        <w:t>likely to result in the most timely, economical, and successful completion of the project;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(iii)</w:t>
      </w:r>
      <w:r>
        <w:rPr>
          <w:rFonts w:eastAsia="Times New Roman"/>
          <w:u w:color="000000" w:themeColor="text1"/>
        </w:rPr>
        <w:tab/>
        <w:t>likely to result in the economical and efficient management, maintenance, and operation of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(c)</w:t>
      </w:r>
      <w:r>
        <w:rPr>
          <w:rFonts w:eastAsia="Times New Roman"/>
          <w:u w:color="000000" w:themeColor="text1"/>
        </w:rPr>
        <w:tab/>
        <w:t xml:space="preserve">the long and short term consideration of the impact the delivery method under consideration will have on all users; and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(d)</w:t>
      </w:r>
      <w:r>
        <w:rPr>
          <w:rFonts w:eastAsia="Times New Roman"/>
          <w:u w:color="000000" w:themeColor="text1"/>
        </w:rPr>
        <w:tab/>
        <w:t>local circumstances and conditions in the affected jurisdiction.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(11)</w:t>
      </w:r>
      <w:r>
        <w:rPr>
          <w:rFonts w:eastAsia="Times New Roman"/>
          <w:u w:color="000000" w:themeColor="text1"/>
        </w:rPr>
        <w:tab/>
        <w:t>‘Public</w:t>
      </w:r>
      <w:r>
        <w:rPr>
          <w:rFonts w:eastAsia="Times New Roman"/>
          <w:u w:color="000000" w:themeColor="text1"/>
        </w:rPr>
        <w:noBreakHyphen/>
        <w:t>private initiative’ means an arrangement between the department and a private entity, the terms and conditions of which are stated in a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(12)</w:t>
      </w:r>
      <w:r>
        <w:rPr>
          <w:rFonts w:eastAsia="Times New Roman"/>
          <w:u w:color="000000" w:themeColor="text1"/>
        </w:rPr>
        <w:tab/>
        <w:t>‘Responder’ means a private entity that responds to a request for qualifications or a request for proposal, as appropriate.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(13)</w:t>
      </w:r>
      <w:r>
        <w:rPr>
          <w:rFonts w:eastAsia="Times New Roman"/>
          <w:u w:color="000000" w:themeColor="text1"/>
        </w:rPr>
        <w:tab/>
        <w:t>‘Transportation facility’ means any existing or new highway, road, bridge, tunnel, toll road, overpass, ferry, mass transit facility, vehicle parking facility, rail facility, intermodal facility, or similar facility open to the public and used for the transportation of persons or goods, together with any buildings, structures, parking areas, appurtenances, or other property needed to operate such facility.  A commercial or retail use or enterprise not essential to the transportation of persons or goods shall not be a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r>
      <w:r>
        <w:rPr>
          <w:u w:color="000000" w:themeColor="text1"/>
        </w:rPr>
        <w:t>(14)</w:t>
      </w:r>
      <w:r>
        <w:rPr>
          <w:u w:color="000000" w:themeColor="text1"/>
        </w:rPr>
        <w:tab/>
        <w:t>‘User fees’ means the rate, toll, fee, or other charges imposed by the department and collected by a private entity pursuant to a partnership agreement for use of all or part of a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310.</w:t>
      </w:r>
      <w:r>
        <w:rPr>
          <w:rFonts w:eastAsia="Times New Roman"/>
          <w:u w:color="000000" w:themeColor="text1"/>
        </w:rPr>
        <w:tab/>
      </w:r>
      <w:r>
        <w:rPr>
          <w:u w:color="000000" w:themeColor="text1"/>
        </w:rPr>
        <w:t>The department may enter into public</w:t>
      </w:r>
      <w:r>
        <w:rPr>
          <w:u w:color="000000" w:themeColor="text1"/>
        </w:rPr>
        <w:noBreakHyphen/>
        <w:t xml:space="preserve">private initiatives for transportation facilities using the </w:t>
      </w:r>
      <w:r>
        <w:rPr>
          <w:u w:color="000000" w:themeColor="text1"/>
        </w:rPr>
        <w:lastRenderedPageBreak/>
        <w:t>design</w:t>
      </w:r>
      <w:r>
        <w:rPr>
          <w:u w:color="000000" w:themeColor="text1"/>
        </w:rPr>
        <w:noBreakHyphen/>
        <w:t>build</w:t>
      </w:r>
      <w:r>
        <w:rPr>
          <w:u w:color="000000" w:themeColor="text1"/>
        </w:rPr>
        <w:noBreakHyphen/>
        <w:t>operate</w:t>
      </w:r>
      <w:r>
        <w:rPr>
          <w:u w:color="000000" w:themeColor="text1"/>
        </w:rPr>
        <w:noBreakHyphen/>
        <w:t>maintain or design</w:t>
      </w:r>
      <w:r>
        <w:rPr>
          <w:u w:color="000000" w:themeColor="text1"/>
        </w:rPr>
        <w:noBreakHyphen/>
        <w:t>build</w:t>
      </w:r>
      <w:r>
        <w:rPr>
          <w:u w:color="000000" w:themeColor="text1"/>
        </w:rPr>
        <w:noBreakHyphen/>
        <w:t>finance</w:t>
      </w:r>
      <w:r>
        <w:rPr>
          <w:u w:color="000000" w:themeColor="text1"/>
        </w:rPr>
        <w:noBreakHyphen/>
        <w:t>operate</w:t>
      </w:r>
      <w:r>
        <w:rPr>
          <w:u w:color="000000" w:themeColor="text1"/>
        </w:rPr>
        <w:noBreakHyphen/>
        <w:t>maintain project delivery methods, as defined in Section 11</w:t>
      </w:r>
      <w:r>
        <w:rPr>
          <w:u w:color="000000" w:themeColor="text1"/>
        </w:rPr>
        <w:noBreakHyphen/>
        <w:t>35</w:t>
      </w:r>
      <w:r>
        <w:rPr>
          <w:u w:color="000000" w:themeColor="text1"/>
        </w:rPr>
        <w:noBreakHyphen/>
        <w:t>2910, only if upon thorough analysis the department determines in writing that for that particular transportation facility a public</w:t>
      </w:r>
      <w:r>
        <w:rPr>
          <w:u w:color="000000" w:themeColor="text1"/>
        </w:rPr>
        <w:noBreakHyphen/>
        <w:t>private initiative is in the public interest.  The written determination must also address, in general terms, the anticipated financial structure and the anticipated term of the public</w:t>
      </w:r>
      <w:r>
        <w:rPr>
          <w:u w:color="000000" w:themeColor="text1"/>
        </w:rPr>
        <w:noBreakHyphen/>
        <w:t>private initiative.  The department must post its determination and supporting analysis in a conspicuous location on its internet website.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320.</w:t>
      </w:r>
      <w:r>
        <w:rPr>
          <w:u w:color="000000" w:themeColor="text1"/>
        </w:rPr>
        <w:tab/>
        <w:t>This article does not apply to contracts using the design</w:t>
      </w:r>
      <w:r>
        <w:rPr>
          <w:u w:color="000000" w:themeColor="text1"/>
        </w:rPr>
        <w:noBreakHyphen/>
        <w:t>build or the design</w:t>
      </w:r>
      <w:r>
        <w:rPr>
          <w:u w:color="000000" w:themeColor="text1"/>
        </w:rPr>
        <w:noBreakHyphen/>
        <w:t>bid</w:t>
      </w:r>
      <w:r>
        <w:rPr>
          <w:u w:color="000000" w:themeColor="text1"/>
        </w:rPr>
        <w:noBreakHyphen/>
        <w:t>build project delivery methods, as defined in Section 11</w:t>
      </w:r>
      <w:r>
        <w:rPr>
          <w:u w:color="000000" w:themeColor="text1"/>
        </w:rPr>
        <w:noBreakHyphen/>
        <w:t>35</w:t>
      </w:r>
      <w:r>
        <w:rPr>
          <w:u w:color="000000" w:themeColor="text1"/>
        </w:rPr>
        <w:noBreakHyphen/>
        <w:t>2910.</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330.</w:t>
      </w:r>
      <w:r>
        <w:rPr>
          <w:u w:color="000000" w:themeColor="text1"/>
        </w:rPr>
        <w:tab/>
        <w:t>(A)</w:t>
      </w:r>
      <w:r>
        <w:rPr>
          <w:u w:color="000000" w:themeColor="text1"/>
        </w:rPr>
        <w:tab/>
        <w:t>Subject to the provisions of this article, the department may solicit, receive, consider, evaluate, and accept proposals for a public</w:t>
      </w:r>
      <w:r>
        <w:rPr>
          <w:u w:color="000000" w:themeColor="text1"/>
        </w:rPr>
        <w:noBreakHyphen/>
        <w:t>private initiative.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The department may not consider, evaluate, or accept unsolicited proposals for a public</w:t>
      </w:r>
      <w:r>
        <w:rPr>
          <w:u w:color="000000" w:themeColor="text1"/>
        </w:rPr>
        <w:noBreakHyphen/>
        <w:t>private initiative.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An existing transportation facility may not be the subject of a public</w:t>
      </w:r>
      <w:r>
        <w:rPr>
          <w:u w:color="000000" w:themeColor="text1"/>
        </w:rPr>
        <w:noBreakHyphen/>
        <w:t>private initiative.  However, if new capacity or lanes are added to an existing transportation facility, then the additional capacity or new lanes may be the subject of a public</w:t>
      </w:r>
      <w:r>
        <w:rPr>
          <w:u w:color="000000" w:themeColor="text1"/>
        </w:rPr>
        <w:noBreakHyphen/>
        <w:t>private initiative.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340.</w:t>
      </w:r>
      <w:r>
        <w:rPr>
          <w:u w:color="000000" w:themeColor="text1"/>
        </w:rPr>
        <w:tab/>
        <w:t>The department may solicit proposals for public</w:t>
      </w:r>
      <w:r>
        <w:rPr>
          <w:u w:color="000000" w:themeColor="text1"/>
        </w:rPr>
        <w:noBreakHyphen/>
        <w:t>private initiatives only pursuant to a request for qualifications and a request for proposals that have been approved by the board.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350.</w:t>
      </w:r>
      <w:r>
        <w:rPr>
          <w:u w:color="000000" w:themeColor="text1"/>
        </w:rPr>
        <w:tab/>
        <w:t>(A)</w:t>
      </w:r>
      <w:r>
        <w:rPr>
          <w:u w:color="000000" w:themeColor="text1"/>
        </w:rPr>
        <w:tab/>
        <w:t>After the department makes and posts the written determination required by  Section 57</w:t>
      </w:r>
      <w:r>
        <w:rPr>
          <w:u w:color="000000" w:themeColor="text1"/>
        </w:rPr>
        <w:noBreakHyphen/>
        <w:t>3</w:t>
      </w:r>
      <w:r>
        <w:rPr>
          <w:u w:color="000000" w:themeColor="text1"/>
        </w:rPr>
        <w:noBreakHyphen/>
        <w:t>310, the department must first prepare a request for qualifications and submit the request for qualifications to the board for approval.  This prequalification process must comply with Section 11</w:t>
      </w:r>
      <w:r>
        <w:rPr>
          <w:u w:color="000000" w:themeColor="text1"/>
        </w:rPr>
        <w:noBreakHyphen/>
        <w:t>35</w:t>
      </w:r>
      <w:r>
        <w:rPr>
          <w:u w:color="000000" w:themeColor="text1"/>
        </w:rPr>
        <w:noBreakHyphen/>
        <w:t xml:space="preserve">3023.  Before the date set for submission, the department shall provide adequate public notice of the request for qualifications.  The notice must be designed to successfully communicate with a broad spectrum of prospective responders.  </w:t>
      </w:r>
      <w:r>
        <w:rPr>
          <w:u w:color="000000" w:themeColor="text1"/>
        </w:rPr>
        <w:tab/>
        <w:t>The date set for submissions from interested private entities must be no less than fifteen days after the department formally issues the request for qualifications.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t>(B)</w:t>
      </w:r>
      <w:r>
        <w:rPr>
          <w:u w:color="000000" w:themeColor="text1"/>
        </w:rPr>
        <w:tab/>
        <w:t>To approve a request for qualifications, the board must determine whether the request requires responders to submit information detailed enough and sufficient for the department to make an informed decision concerning the responder’s relative qualifications.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 xml:space="preserve">The department may issue the request for qualifications upon approval by the board.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The department may interview any or all of the responders in making its determination as to which responders are most qualified.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360.</w:t>
      </w:r>
      <w:r>
        <w:rPr>
          <w:u w:color="000000" w:themeColor="text1"/>
        </w:rPr>
        <w:tab/>
        <w:t>(A)</w:t>
      </w:r>
      <w:r>
        <w:rPr>
          <w:u w:color="000000" w:themeColor="text1"/>
        </w:rPr>
        <w:tab/>
        <w:t>The board must approve the request for proposals before it may be formally issued.  At least ten days prior to submitting a request for proposals and any accompanying documents to the board for consideration, the department must hold a public meeting concerning the request for proposals and the proposed public</w:t>
      </w:r>
      <w:r>
        <w:rPr>
          <w:u w:color="000000" w:themeColor="text1"/>
        </w:rPr>
        <w:noBreakHyphen/>
        <w:t>private initiative.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u w:color="000000" w:themeColor="text1"/>
        </w:rPr>
        <w:tab/>
        <w:t>(B)</w:t>
      </w:r>
      <w:r>
        <w:rPr>
          <w:u w:color="000000" w:themeColor="text1"/>
        </w:rPr>
        <w:tab/>
      </w:r>
      <w:r>
        <w:rPr>
          <w:rFonts w:eastAsia="Times New Roman"/>
          <w:szCs w:val="24"/>
          <w:u w:color="000000" w:themeColor="text1"/>
        </w:rPr>
        <w:t>A notice of the public meeting must be forwarded to a newspaper of general circulation in all affected jurisdictions with a request that it be published at least once a week for two consecutive weeks.  A notice of the meeting must also be furnished, on or before the date of the first newspaper publication, in writing to each member of the General Assembly representing a portion of an affected jurisdiction and to any person who has informed the department or the board that he desires to be notified of the public meeting.  The notice must also be posted in a conspicuous location on the department’s internet website.  The notice must contain a complete description of the project.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szCs w:val="24"/>
          <w:u w:color="000000" w:themeColor="text1"/>
        </w:rPr>
        <w:tab/>
        <w:t>Section 57</w:t>
      </w:r>
      <w:r>
        <w:rPr>
          <w:rFonts w:eastAsia="Times New Roman"/>
          <w:szCs w:val="24"/>
          <w:u w:color="000000" w:themeColor="text1"/>
        </w:rPr>
        <w:noBreakHyphen/>
        <w:t>3</w:t>
      </w:r>
      <w:r>
        <w:rPr>
          <w:rFonts w:eastAsia="Times New Roman"/>
          <w:szCs w:val="24"/>
          <w:u w:color="000000" w:themeColor="text1"/>
        </w:rPr>
        <w:noBreakHyphen/>
        <w:t>370.</w:t>
      </w:r>
      <w:r>
        <w:rPr>
          <w:rFonts w:eastAsia="Times New Roman"/>
          <w:szCs w:val="24"/>
          <w:u w:color="000000" w:themeColor="text1"/>
        </w:rPr>
        <w:tab/>
        <w:t>(A)</w:t>
      </w:r>
      <w:r>
        <w:rPr>
          <w:rFonts w:eastAsia="Times New Roman"/>
          <w:szCs w:val="24"/>
          <w:u w:color="000000" w:themeColor="text1"/>
        </w:rPr>
        <w:tab/>
        <w:t>The request for proposal prepared by the department that is the subject of the public meeting required by Section 57</w:t>
      </w:r>
      <w:r>
        <w:rPr>
          <w:rFonts w:eastAsia="Times New Roman"/>
          <w:szCs w:val="24"/>
          <w:u w:color="000000" w:themeColor="text1"/>
        </w:rPr>
        <w:noBreakHyphen/>
        <w:t>3</w:t>
      </w:r>
      <w:r>
        <w:rPr>
          <w:rFonts w:eastAsia="Times New Roman"/>
          <w:szCs w:val="24"/>
          <w:u w:color="000000" w:themeColor="text1"/>
        </w:rPr>
        <w:noBreakHyphen/>
        <w:t>360 and submitted to the board for consideration, must be detailed enough and contain sufficient information for the board to determine whether the proposed public</w:t>
      </w:r>
      <w:r>
        <w:rPr>
          <w:rFonts w:eastAsia="Times New Roman"/>
          <w:szCs w:val="24"/>
          <w:u w:color="000000" w:themeColor="text1"/>
        </w:rPr>
        <w:noBreakHyphen/>
        <w:t>private initiative is in the public interest.  In addition to any other legal requirements, the request for proposal must include: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the expected, desired, or approved location or route of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the anticipated maximum term of the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the anticipated user fees, if any, when the facility opens for operation; and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r>
      <w:r>
        <w:rPr>
          <w:u w:color="000000" w:themeColor="text1"/>
        </w:rPr>
        <w:tab/>
        <w:t>(4)</w:t>
      </w:r>
      <w:r>
        <w:rPr>
          <w:u w:color="000000" w:themeColor="text1"/>
        </w:rPr>
        <w:tab/>
        <w:t>the text of any anticipated non</w:t>
      </w:r>
      <w:r>
        <w:rPr>
          <w:u w:color="000000" w:themeColor="text1"/>
        </w:rPr>
        <w:noBreakHyphen/>
        <w:t>compete clause to be used in the partnership agreement, if any.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The request for proposals must require each responder to identify an independent financial consultant whose competence and qualifications to provide the required consulting services must be an additional evaluation factor in the award of the contract.  If the department elects not to negotiate a contract with the consultant proposed by the successful responder, the department may use any process otherwise authorized by law to select and contract with a different consultant.  The request for proposals may require each responder to pay the department a fixed stipend, not to exceed the maximum amount stated in the request for proposals, which is sufficient, when combined with all stipends received, to pay for the cost of the department contracting with the consultant.  The partnership agreement may require the successful responder to either reimburse the unsuccessful responders the amount of their respective stipends or to reimburse the department for the cost of contracting with the consultant.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380.</w:t>
      </w:r>
      <w:r>
        <w:rPr>
          <w:u w:color="000000" w:themeColor="text1"/>
        </w:rPr>
        <w:tab/>
        <w:t>(A)</w:t>
      </w:r>
      <w:r>
        <w:rPr>
          <w:u w:color="000000" w:themeColor="text1"/>
        </w:rPr>
        <w:tab/>
        <w:t>To approve a request for proposal, the board must determine that: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the proposed public</w:t>
      </w:r>
      <w:r>
        <w:rPr>
          <w:u w:color="000000" w:themeColor="text1"/>
        </w:rPr>
        <w:noBreakHyphen/>
        <w:t>private initiative is in the public interest;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the anticipated financial structure of the public</w:t>
      </w:r>
      <w:r>
        <w:rPr>
          <w:u w:color="000000" w:themeColor="text1"/>
        </w:rPr>
        <w:noBreakHyphen/>
        <w:t>private initiative is sound;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the anticipated term of the public</w:t>
      </w:r>
      <w:r>
        <w:rPr>
          <w:u w:color="000000" w:themeColor="text1"/>
        </w:rPr>
        <w:noBreakHyphen/>
        <w:t>private initiative is reasonable under the circumstances; and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(4)</w:t>
      </w:r>
      <w:r>
        <w:rPr>
          <w:u w:color="000000" w:themeColor="text1"/>
        </w:rPr>
        <w:tab/>
        <w:t>any anticipated non</w:t>
      </w:r>
      <w:r>
        <w:rPr>
          <w:u w:color="000000" w:themeColor="text1"/>
        </w:rPr>
        <w:noBreakHyphen/>
        <w:t>compete clauses proposed to be included in a partnership agreement do not put the public at a disadvantage.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A term longer than thirty years must be specifically approved by the board and the approval must be accompanied by a written justification for the approved length.</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The department must provide the board with any additional information that the board reasonably believes is necessary to make its determination.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The board must transmit its determination to the department as soon as practicable.  If the board makes a negative determination, the board may make recommendations to the department concerning changes to the request for proposal that would result in a favorable determination.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t>Section 57</w:t>
      </w:r>
      <w:r>
        <w:rPr>
          <w:u w:color="000000" w:themeColor="text1"/>
        </w:rPr>
        <w:noBreakHyphen/>
        <w:t>3</w:t>
      </w:r>
      <w:r>
        <w:rPr>
          <w:u w:color="000000" w:themeColor="text1"/>
        </w:rPr>
        <w:noBreakHyphen/>
        <w:t>390.</w:t>
      </w:r>
      <w:r>
        <w:rPr>
          <w:u w:color="000000" w:themeColor="text1"/>
        </w:rPr>
        <w:tab/>
        <w:t>After the department is notified of the board’s favorable determination, the department may formally issue the request for proposal.</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400.</w:t>
      </w:r>
      <w:r>
        <w:rPr>
          <w:rFonts w:eastAsia="Times New Roman"/>
          <w:u w:color="000000" w:themeColor="text1"/>
        </w:rPr>
        <w:tab/>
        <w:t>(A)</w:t>
      </w:r>
      <w:r>
        <w:rPr>
          <w:rFonts w:eastAsia="Times New Roman"/>
          <w:u w:color="000000" w:themeColor="text1"/>
        </w:rPr>
        <w:tab/>
        <w:t>The department may enter into a partnership agreement under the provisions of this article.  The terms of the partnership agreement must: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be in the public interest;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 xml:space="preserve">provide that the private entity shall keep the transportation facility open for use by the members of the public after its initial opening upon payment of the applicable user fees, if any; provided, that the transportation facility may be temporarily closed because of emergencies or, with the consent of the department, to protect the safety of the public or for reasonable construction or maintenance procedures; and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provide: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(a)</w:t>
      </w:r>
      <w:r>
        <w:rPr>
          <w:rFonts w:eastAsia="Times New Roman"/>
          <w:u w:color="000000" w:themeColor="text1"/>
        </w:rPr>
        <w:tab/>
        <w:t>for the planning, acquisition, financing, refinancing, development, design, construction, reconstruction, replacement, improvement, maintenance, management, repair, leasing, or operation of a transportation facility, or any part or function of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(b)</w:t>
      </w:r>
      <w:r>
        <w:rPr>
          <w:rFonts w:eastAsia="Times New Roman"/>
          <w:u w:color="000000" w:themeColor="text1"/>
        </w:rPr>
        <w:tab/>
        <w:t>the term of the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(c)</w:t>
      </w:r>
      <w:r>
        <w:rPr>
          <w:rFonts w:eastAsia="Times New Roman"/>
          <w:u w:color="000000" w:themeColor="text1"/>
        </w:rPr>
        <w:tab/>
        <w:t xml:space="preserve">the grant, if any, to the private entity of a right to operate the transportation facility and the payment, if any, to be paid to the department;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(d)</w:t>
      </w:r>
      <w:r>
        <w:rPr>
          <w:rFonts w:eastAsia="Times New Roman"/>
          <w:u w:color="000000" w:themeColor="text1"/>
        </w:rPr>
        <w:tab/>
        <w:t>whether user fees will be collected on the transportation facility and the basis by which the user fees shall be determined and modified, provided that: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r>
      <w:r>
        <w:rPr>
          <w:rFonts w:eastAsia="Times New Roman"/>
          <w:u w:color="000000" w:themeColor="text1"/>
        </w:rPr>
        <w:tab/>
        <w:t>(i)</w:t>
      </w:r>
      <w:r>
        <w:rPr>
          <w:rFonts w:eastAsia="Times New Roman"/>
          <w:u w:color="000000" w:themeColor="text1"/>
        </w:rPr>
        <w:tab/>
      </w:r>
      <w:r>
        <w:rPr>
          <w:rFonts w:eastAsia="Times New Roman"/>
          <w:u w:color="000000" w:themeColor="text1"/>
        </w:rPr>
        <w:tab/>
        <w:t xml:space="preserve">the department shall establish the initial user fee, if any, to be charged to the traveling public for the use of the transportation facility.  The department may delegate to the private entity the power to periodically revise the user fee to take into account inflation and economic conditions.  Revisions may not exceed a cap contained in the partnership agreement.  The cap must be expressed as the increase or decrease in an objective index identified and agreed to by the parties in the partnership agreement; and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r>
      <w:r>
        <w:rPr>
          <w:rFonts w:eastAsia="Times New Roman"/>
          <w:u w:color="000000" w:themeColor="text1"/>
        </w:rPr>
        <w:tab/>
        <w:t>(ii)</w:t>
      </w:r>
      <w:r>
        <w:rPr>
          <w:rFonts w:eastAsia="Times New Roman"/>
          <w:u w:color="000000" w:themeColor="text1"/>
        </w:rPr>
        <w:tab/>
        <w:t>any user fees and user fee adjustments provided in a partnership agreement may be computed under a congestion pricing method for the sole purpose of managing traffic flow;</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(e)</w:t>
      </w:r>
      <w:r>
        <w:rPr>
          <w:rFonts w:eastAsia="Times New Roman"/>
          <w:u w:color="000000" w:themeColor="text1"/>
        </w:rPr>
        <w:tab/>
        <w:t xml:space="preserve">compensation to the private entity, which may include, but is not limited to, a reasonable development fee, a reasonable maximum rate of return on investment, and reimbursement of </w:t>
      </w:r>
      <w:r>
        <w:rPr>
          <w:rFonts w:eastAsia="Times New Roman"/>
          <w:u w:color="000000" w:themeColor="text1"/>
        </w:rPr>
        <w:lastRenderedPageBreak/>
        <w:t>development expenses in the event of termination for convenience by the department;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(f)</w:t>
      </w:r>
      <w:r>
        <w:rPr>
          <w:rFonts w:eastAsia="Times New Roman"/>
          <w:u w:color="000000" w:themeColor="text1"/>
        </w:rPr>
        <w:tab/>
        <w:t xml:space="preserve">for the distribution of payments, if any;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(g)</w:t>
      </w:r>
      <w:r>
        <w:rPr>
          <w:rFonts w:eastAsia="Times New Roman"/>
          <w:u w:color="000000" w:themeColor="text1"/>
        </w:rPr>
        <w:tab/>
        <w:t>the guaranteed cost and completion guarantees, if any, related to the development or operation, or both, of the transportation facility and payment of damages for failure to meet the completion guarantee;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(h)</w:t>
      </w:r>
      <w:r>
        <w:rPr>
          <w:rFonts w:eastAsia="Times New Roman"/>
          <w:u w:color="000000" w:themeColor="text1"/>
        </w:rPr>
        <w:tab/>
        <w:t>a description of the actions the department may take to ensure proper maintenance of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(i)</w:t>
      </w:r>
      <w:r>
        <w:rPr>
          <w:rFonts w:eastAsia="Times New Roman"/>
          <w:u w:color="000000" w:themeColor="text1"/>
        </w:rPr>
        <w:tab/>
      </w:r>
      <w:r>
        <w:rPr>
          <w:rFonts w:eastAsia="Times New Roman"/>
          <w:u w:color="000000" w:themeColor="text1"/>
        </w:rPr>
        <w:tab/>
        <w:t>remedies for default or non</w:t>
      </w:r>
      <w:r>
        <w:rPr>
          <w:rFonts w:eastAsia="Times New Roman"/>
          <w:u w:color="000000" w:themeColor="text1"/>
        </w:rPr>
        <w:noBreakHyphen/>
        <w:t xml:space="preserve">performance under the partnership agreement and grounds for termination of the partnership agreement by the department or private entity;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(j)</w:t>
      </w:r>
      <w:r>
        <w:rPr>
          <w:rFonts w:eastAsia="Times New Roman"/>
          <w:u w:color="000000" w:themeColor="text1"/>
        </w:rPr>
        <w:tab/>
      </w:r>
      <w:r>
        <w:rPr>
          <w:rFonts w:eastAsia="Times New Roman"/>
          <w:u w:color="000000" w:themeColor="text1"/>
        </w:rPr>
        <w:tab/>
        <w:t>procedures for amendment of the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(k)</w:t>
      </w:r>
      <w:r>
        <w:rPr>
          <w:rFonts w:eastAsia="Times New Roman"/>
          <w:u w:color="000000" w:themeColor="text1"/>
        </w:rPr>
        <w:tab/>
        <w:t>the accounting and auditing standards to be used to evaluate progress on the project;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(l)</w:t>
      </w:r>
      <w:r>
        <w:rPr>
          <w:rFonts w:eastAsia="Times New Roman"/>
          <w:u w:color="000000" w:themeColor="text1"/>
        </w:rPr>
        <w:tab/>
      </w:r>
      <w:r>
        <w:rPr>
          <w:rFonts w:eastAsia="Times New Roman"/>
          <w:u w:color="000000" w:themeColor="text1"/>
        </w:rPr>
        <w:tab/>
        <w:t xml:space="preserve">which party will assume responsibility for specific project elements and the timing of the assumption of responsibility;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(m)</w:t>
      </w:r>
      <w:r>
        <w:rPr>
          <w:rFonts w:eastAsia="Times New Roman"/>
          <w:u w:color="000000" w:themeColor="text1"/>
        </w:rPr>
        <w:tab/>
        <w:t>that a user fee may not be imposed upon either a school bus, as defined in Section 56</w:t>
      </w:r>
      <w:r>
        <w:rPr>
          <w:rFonts w:eastAsia="Times New Roman"/>
          <w:u w:color="000000" w:themeColor="text1"/>
        </w:rPr>
        <w:noBreakHyphen/>
        <w:t>5</w:t>
      </w:r>
      <w:r>
        <w:rPr>
          <w:rFonts w:eastAsia="Times New Roman"/>
          <w:u w:color="000000" w:themeColor="text1"/>
        </w:rPr>
        <w:noBreakHyphen/>
        <w:t>190, that is owned, operated, or leased by either a public school or the South Carolina Department of Education, or on an authorized emergency vehicle, as defined in Section 56</w:t>
      </w:r>
      <w:r>
        <w:rPr>
          <w:rFonts w:eastAsia="Times New Roman"/>
          <w:u w:color="000000" w:themeColor="text1"/>
        </w:rPr>
        <w:noBreakHyphen/>
        <w:t>5</w:t>
      </w:r>
      <w:r>
        <w:rPr>
          <w:rFonts w:eastAsia="Times New Roman"/>
          <w:u w:color="000000" w:themeColor="text1"/>
        </w:rPr>
        <w:noBreakHyphen/>
        <w:t>170; and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(n)</w:t>
      </w:r>
      <w:r>
        <w:rPr>
          <w:rFonts w:eastAsia="Times New Roman"/>
          <w:u w:color="000000" w:themeColor="text1"/>
        </w:rPr>
        <w:tab/>
        <w:t>any other terms and provisions that the department deems reasonable, necessary, or appropriate, including provisions for revenue sources other than user fees.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The partnership agreement may provide for an alternative dispute resolution process.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In the partnership agreement the department may agree to make grants or loans for the development or operation, or both, of the transportation facility from time to time from amounts received from the federal government or any agency or instrumentality of the federal government.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zCs w:val="24"/>
          <w:u w:color="000000" w:themeColor="text1"/>
        </w:rPr>
        <w:tab/>
        <w:t>(D)</w:t>
      </w:r>
      <w:r>
        <w:rPr>
          <w:rFonts w:eastAsia="Times New Roman"/>
          <w:szCs w:val="24"/>
          <w:u w:color="000000" w:themeColor="text1"/>
        </w:rPr>
        <w:tab/>
      </w:r>
      <w:r>
        <w:rPr>
          <w:rFonts w:eastAsia="Times New Roman"/>
          <w:u w:color="000000" w:themeColor="text1"/>
        </w:rPr>
        <w:t>Any partnership agreement that the department intends to execute may not contain terms, conditions, or other provisions that materially deviate from the terms, conditions, and other provisions contained in the request for proposal approved by the board.  Any material deviation must be referred to the board for approval in the same manner as provided in this article prior to the department entering into the partnership agreement.  An executed partnership agreement is void ab initio if it contains any material deviations.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t>(E)</w:t>
      </w:r>
      <w:r>
        <w:rPr>
          <w:rFonts w:eastAsia="Times New Roman"/>
          <w:u w:color="000000" w:themeColor="text1"/>
        </w:rPr>
        <w:tab/>
        <w:t>The department may not enter into a partnership agreement unless it has complied with the requirements of Title 11, Chapter 35 and until the contractual terms of the partnership agreement have been approved by the Department of Transportation Commission.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(F)</w:t>
      </w:r>
      <w:r>
        <w:rPr>
          <w:rFonts w:eastAsia="Times New Roman"/>
          <w:u w:color="000000" w:themeColor="text1"/>
        </w:rPr>
        <w:tab/>
        <w:t>All partnership agreements must be transmitted to the General Assembly, the board, and the Governor and posted in a conspicuous place on the department’s internet website.</w:t>
      </w:r>
    </w:p>
    <w:p w:rsidR="00F60F6F" w:rsidRDefault="00F60F6F"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410.</w:t>
      </w:r>
      <w:r>
        <w:rPr>
          <w:u w:color="000000" w:themeColor="text1"/>
        </w:rPr>
        <w:tab/>
        <w:t>The department shall own fee simple title to the transportation facility.  The transportation facility must be open for public use, enjoyment, safety, and welfare.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420.</w:t>
      </w:r>
      <w:r>
        <w:rPr>
          <w:u w:color="000000" w:themeColor="text1"/>
        </w:rPr>
        <w:tab/>
        <w:t>(A)</w:t>
      </w:r>
      <w:r>
        <w:rPr>
          <w:u w:color="000000" w:themeColor="text1"/>
        </w:rPr>
        <w:tab/>
        <w:t>If the department terminates the partnership agreement for default, the department may, without limitation: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elect to take over the transportation facility, including the succession of all right, title, and interest in the transportation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exercise any other available rights and remedies; and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conduct a procurement pursuant to this article to enter into a new partnership agreement with a different private entity.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Any party asserting force majeure as an excuse to performance shall have the burden of proving proximate cause, that reasonable steps were taken to minimize the delay and damages caused by events when known, and that the other party was timely notified of the likelihood or actual occurrence which is claimed as grounds for a force majeure defense.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430.</w:t>
      </w:r>
      <w:r>
        <w:rPr>
          <w:rFonts w:eastAsia="Times New Roman"/>
          <w:u w:color="000000" w:themeColor="text1"/>
        </w:rPr>
        <w:tab/>
        <w:t>(A)</w:t>
      </w:r>
      <w:r>
        <w:rPr>
          <w:rFonts w:eastAsia="Times New Roman"/>
          <w:u w:color="000000" w:themeColor="text1"/>
        </w:rPr>
        <w:tab/>
        <w:t xml:space="preserve">The department may accept from the United States or any of its agencies funds that are available to the State for carrying out this article, whether the funds are made available by grant, loan, or other means.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The State assents to any federal requirements, conditions, or terms of any federal funding accepted by the department under this section.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(C)</w:t>
      </w:r>
      <w:r>
        <w:rPr>
          <w:rFonts w:eastAsia="Times New Roman"/>
          <w:u w:color="000000" w:themeColor="text1"/>
        </w:rPr>
        <w:tab/>
        <w:t>The department may enter into agreements or other arrangements with the United States or any of its agencies that may be necessary for carrying out the purposes of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(D)</w:t>
      </w:r>
      <w:r>
        <w:rPr>
          <w:rFonts w:eastAsia="Times New Roman"/>
          <w:u w:color="000000" w:themeColor="text1"/>
        </w:rPr>
        <w:tab/>
        <w:t>The department may accept from any source any grant, donation, gift, or other form of conveyance of land, money, other real or personal property, or other item of value made to the State or the department for carrying out the purpose of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t>(E)</w:t>
      </w:r>
      <w:r>
        <w:rPr>
          <w:u w:color="000000" w:themeColor="text1"/>
        </w:rPr>
        <w:tab/>
        <w:t>The department may combine federal, state, local, and private funds to finance a transportation facility under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440.</w:t>
      </w:r>
      <w:r>
        <w:rPr>
          <w:u w:color="000000" w:themeColor="text1"/>
        </w:rPr>
        <w:tab/>
        <w:t>Any financing of the project may be in such amounts and upon such terms and conditions as may be determined by the department and a private entity in the partnership agreement.  The department and the private entity may use any and all revenues that may be available to them and may, to the fullest extent permitted by applicable law, issue debt, equity, or other securities or obligations.  This article does not create any additional bonding authority for the department.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450.</w:t>
      </w:r>
      <w:r>
        <w:rPr>
          <w:u w:color="000000" w:themeColor="text1"/>
        </w:rPr>
        <w:tab/>
        <w:t>The department may exercise the power of eminent domain to acquire property, rights</w:t>
      </w:r>
      <w:r>
        <w:rPr>
          <w:rFonts w:eastAsia="Times New Roman"/>
          <w:u w:color="000000" w:themeColor="text1"/>
        </w:rPr>
        <w:noBreakHyphen/>
      </w:r>
      <w:r>
        <w:rPr>
          <w:u w:color="000000" w:themeColor="text1"/>
        </w:rPr>
        <w:t>of</w:t>
      </w:r>
      <w:r>
        <w:rPr>
          <w:rFonts w:eastAsia="Times New Roman"/>
          <w:u w:color="000000" w:themeColor="text1"/>
        </w:rPr>
        <w:noBreakHyphen/>
      </w:r>
      <w:r>
        <w:rPr>
          <w:u w:color="000000" w:themeColor="text1"/>
        </w:rPr>
        <w:t>way or other rights in property for transportation projects that are part of a public</w:t>
      </w:r>
      <w:r>
        <w:rPr>
          <w:u w:color="000000" w:themeColor="text1"/>
        </w:rPr>
        <w:noBreakHyphen/>
        <w:t>private initiative.  Fee simple title to such property shall be held by and in the name of the department.  Any transportation facility operated by a private entity pursuant to a partnership agreement under the terms of this article must be open for public use and enjoyment.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460.</w:t>
      </w:r>
      <w:r>
        <w:rPr>
          <w:rFonts w:eastAsia="Times New Roman"/>
          <w:u w:color="000000" w:themeColor="text1"/>
        </w:rPr>
        <w:tab/>
        <w:t>(A)</w:t>
      </w:r>
      <w:r>
        <w:rPr>
          <w:rFonts w:eastAsia="Times New Roman"/>
          <w:u w:color="000000" w:themeColor="text1"/>
        </w:rPr>
        <w:tab/>
        <w:t>All state law enforcement officers and law enforcement officers of an affected jurisdiction shall have the same powers and jurisdiction within the limits of a transportation facility that is the subject of a public</w:t>
      </w:r>
      <w:r>
        <w:rPr>
          <w:rFonts w:eastAsia="Times New Roman"/>
          <w:u w:color="000000" w:themeColor="text1"/>
        </w:rPr>
        <w:noBreakHyphen/>
        <w:t>private initiative  as they have in their respective areas of jurisdiction and shall have access to the transportation facility that is the subject of a public</w:t>
      </w:r>
      <w:r>
        <w:rPr>
          <w:rFonts w:eastAsia="Times New Roman"/>
          <w:u w:color="000000" w:themeColor="text1"/>
        </w:rPr>
        <w:noBreakHyphen/>
        <w:t>private initiative  at any time for the purpose of exercising those powers and jurisdiction.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The traffic and motor vehicle laws of the State or, if applicable, any affected jurisdiction shall be the same on a transportation facility that is the subject of a public</w:t>
      </w:r>
      <w:r>
        <w:rPr>
          <w:rFonts w:eastAsia="Times New Roman"/>
          <w:u w:color="000000" w:themeColor="text1"/>
        </w:rPr>
        <w:noBreakHyphen/>
        <w:t>private initiative as those laws applied to conduct on similar transportation facilities in the State or affected area.</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(C)</w:t>
      </w:r>
      <w:r>
        <w:rPr>
          <w:rFonts w:eastAsia="Times New Roman"/>
          <w:u w:color="000000" w:themeColor="text1"/>
        </w:rPr>
        <w:tab/>
        <w:t>Punishment for violations of traffic and motor vehicle laws of the State or, if applicable, any affected area on a transportation facility that is the subject of a public</w:t>
      </w:r>
      <w:r>
        <w:rPr>
          <w:rFonts w:eastAsia="Times New Roman"/>
          <w:u w:color="000000" w:themeColor="text1"/>
        </w:rPr>
        <w:noBreakHyphen/>
        <w:t>private initiative  shall be as prescribed by law for conduct occurring on similar transportation facilities in the State or local jurisdiction.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(D)</w:t>
      </w:r>
      <w:r>
        <w:rPr>
          <w:u w:color="000000" w:themeColor="text1"/>
        </w:rPr>
        <w:tab/>
        <w:t>Collection of user fees by the private entity may be made pursuant to Article 9, Chapter 3, Title 57.</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t>Section 57</w:t>
      </w:r>
      <w:r>
        <w:rPr>
          <w:u w:color="000000" w:themeColor="text1"/>
        </w:rPr>
        <w:noBreakHyphen/>
        <w:t>3</w:t>
      </w:r>
      <w:r>
        <w:rPr>
          <w:u w:color="000000" w:themeColor="text1"/>
        </w:rPr>
        <w:noBreakHyphen/>
        <w:t>470.</w:t>
      </w:r>
      <w:r>
        <w:rPr>
          <w:u w:color="000000" w:themeColor="text1"/>
        </w:rPr>
        <w:tab/>
        <w:t>(A)</w:t>
      </w:r>
      <w:r>
        <w:rPr>
          <w:u w:color="000000" w:themeColor="text1"/>
        </w:rPr>
        <w:tab/>
        <w:t>Partnership agreements may contain provisions that require private entities to obtain appropriate errors and omissions insurance to cover architectural and engineering services.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(B)</w:t>
      </w:r>
      <w:r>
        <w:rPr>
          <w:u w:color="000000" w:themeColor="text1"/>
        </w:rPr>
        <w:tab/>
        <w:t>The department may require one or more of the following forms of security to assure timely, faithful, and uninterrupted provisions of operations and maintenance services procured separately or as one element of a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(1)</w:t>
      </w:r>
      <w:r>
        <w:rPr>
          <w:u w:color="000000" w:themeColor="text1"/>
        </w:rPr>
        <w:tab/>
        <w:t>operations period surety bonds that secure the performance of the private entity’s operations and maintenance obligations;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(2)</w:t>
      </w:r>
      <w:r>
        <w:rPr>
          <w:u w:color="000000" w:themeColor="text1"/>
        </w:rPr>
        <w:tab/>
        <w:t>letters of credit in an amount appropriate to cover the cost of the department preventing transportation infrastructure service interruptions for a period of up to twelve months; or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(3)</w:t>
      </w:r>
      <w:r>
        <w:rPr>
          <w:u w:color="000000" w:themeColor="text1"/>
        </w:rPr>
        <w:tab/>
        <w:t>appropriate written guarantees from the private entity, or depending upon the circumstances, from a parent corporation, to secure the recovery of reprocurement costs to the department if the private entity defaults in performance.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The department shall require appropriate performance guarantees and security and appropriate payment bonds for the protection of persons supplying labor and materials to projects subject to a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480.</w:t>
      </w:r>
      <w:r>
        <w:rPr>
          <w:u w:color="000000" w:themeColor="text1"/>
        </w:rPr>
        <w:tab/>
        <w:t>An operator under this article and any utility whose facility is to be crossed or relocated shall cooperate fully in planning and arranging the manner of the crossing or relocation of the utility facility.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490.</w:t>
      </w:r>
      <w:r>
        <w:rPr>
          <w:rFonts w:eastAsia="Times New Roman"/>
          <w:u w:color="000000" w:themeColor="text1"/>
        </w:rPr>
        <w:tab/>
        <w:t>The Circuit Court of Richland County has exclusive jurisdiction over actions between the department and a private entity for breach of a partnership agreement, whether the action is for monetary damages or declaratory, injunctive, or other equitable relief.  A partnership agreement may contain a dispute resolution process, including, but not limited to, an obligation to participate in mandatory, non</w:t>
      </w:r>
      <w:r>
        <w:rPr>
          <w:rFonts w:eastAsia="Times New Roman"/>
          <w:u w:color="000000" w:themeColor="text1"/>
        </w:rPr>
        <w:noBreakHyphen/>
        <w:t>binding alternative dispute resolution.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500.</w:t>
      </w:r>
      <w:r>
        <w:rPr>
          <w:rFonts w:eastAsia="Times New Roman"/>
          <w:u w:color="000000" w:themeColor="text1"/>
        </w:rPr>
        <w:tab/>
        <w:t>Partnership agreements may not be assigned, transferred, or sold without the prior written consent of the Department of Transportation Commission.  The commission may not consent to a transfer, assignment, or sale unless it is in the public interest.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rFonts w:eastAsia="Times New Roman"/>
          <w:u w:color="000000" w:themeColor="text1"/>
        </w:rPr>
        <w:lastRenderedPageBreak/>
        <w:tab/>
        <w:t>Section 57</w:t>
      </w:r>
      <w:r>
        <w:rPr>
          <w:rFonts w:eastAsia="Times New Roman"/>
          <w:u w:color="000000" w:themeColor="text1"/>
        </w:rPr>
        <w:noBreakHyphen/>
        <w:t>3</w:t>
      </w:r>
      <w:r>
        <w:rPr>
          <w:rFonts w:eastAsia="Times New Roman"/>
          <w:u w:color="000000" w:themeColor="text1"/>
        </w:rPr>
        <w:noBreakHyphen/>
        <w:t>510.</w:t>
      </w:r>
      <w:r>
        <w:rPr>
          <w:rFonts w:eastAsia="Times New Roman"/>
          <w:u w:color="000000" w:themeColor="text1"/>
        </w:rPr>
        <w:tab/>
      </w:r>
      <w:r>
        <w:rPr>
          <w:rFonts w:eastAsia="Times New Roman"/>
          <w:szCs w:val="24"/>
          <w:u w:color="000000" w:themeColor="text1"/>
        </w:rPr>
        <w:t xml:space="preserve">The department may </w:t>
      </w:r>
      <w:r>
        <w:rPr>
          <w:rFonts w:eastAsia="Times New Roman"/>
          <w:bCs/>
          <w:szCs w:val="24"/>
          <w:u w:color="000000" w:themeColor="text1"/>
        </w:rPr>
        <w:t>employ or contract with consultants and other specialists</w:t>
      </w:r>
      <w:r>
        <w:rPr>
          <w:rFonts w:eastAsia="Times New Roman"/>
          <w:szCs w:val="24"/>
          <w:u w:color="000000" w:themeColor="text1"/>
        </w:rPr>
        <w:t xml:space="preserve"> as may be necessary to carry out the duties and functions of this article.  Any consultants or specialists, including the independent financial consultant, retained by the department are deemed to be public employees for the purposes of the conflict of interest provisions contained Chapter 13, Title 8.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r>
        <w:rPr>
          <w:rFonts w:eastAsia="Times New Roman"/>
          <w:szCs w:val="18"/>
        </w:rPr>
        <w:tab/>
        <w:t>Section 57</w:t>
      </w:r>
      <w:r>
        <w:rPr>
          <w:rFonts w:eastAsia="Times New Roman"/>
          <w:szCs w:val="18"/>
        </w:rPr>
        <w:noBreakHyphen/>
        <w:t>3</w:t>
      </w:r>
      <w:r>
        <w:rPr>
          <w:rFonts w:eastAsia="Times New Roman"/>
          <w:szCs w:val="18"/>
        </w:rPr>
        <w:noBreakHyphen/>
        <w:t>520.</w:t>
      </w:r>
      <w:r>
        <w:rPr>
          <w:rFonts w:eastAsia="Times New Roman"/>
          <w:szCs w:val="18"/>
        </w:rPr>
        <w:tab/>
        <w:t>The department may adopt rules and regulations to carry out the provisions of this article as it deems necessary and appropriate.”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3.</w:t>
      </w:r>
      <w:r>
        <w:rPr>
          <w:rFonts w:eastAsia="Times New Roman"/>
          <w:u w:color="000000" w:themeColor="text1"/>
        </w:rPr>
        <w:tab/>
        <w:t>Chapter 3, Title 57 of the 1976 Code is amended by adding:</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“Article 9</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r>
        <w:rPr>
          <w:rFonts w:eastAsia="Times New Roman"/>
          <w:u w:color="000000" w:themeColor="text1"/>
        </w:rPr>
        <w:tab/>
        <w:t>Toll Roads, Use of Tolls, and Collection of Revenue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900.</w:t>
      </w:r>
      <w:r>
        <w:rPr>
          <w:u w:color="000000" w:themeColor="text1"/>
        </w:rPr>
        <w:tab/>
        <w:t>As used in this title, the following terms shall have the following meanings: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(1)</w:t>
      </w:r>
      <w:r>
        <w:rPr>
          <w:u w:color="000000" w:themeColor="text1"/>
        </w:rPr>
        <w:tab/>
        <w:t>‘Department’ shall mean the South Carolina Department of Transportation.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(2)</w:t>
      </w:r>
      <w:r>
        <w:rPr>
          <w:u w:color="000000" w:themeColor="text1"/>
        </w:rPr>
        <w:tab/>
        <w:t>‘Toll roads’ shall mean: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(a)</w:t>
      </w:r>
      <w:r>
        <w:rPr>
          <w:u w:color="000000" w:themeColor="text1"/>
        </w:rPr>
        <w:tab/>
        <w:t>a turnpike project or facility, as defined in Article 9, Chapter 5, Title 57, constructed by the department pursuant to the provisions of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(b)</w:t>
      </w:r>
      <w:r>
        <w:rPr>
          <w:u w:color="000000" w:themeColor="text1"/>
        </w:rPr>
        <w:tab/>
        <w:t>a transportation facility constructed by the department under a partnership agreement on which a toll is charged pursuant to Section 57</w:t>
      </w:r>
      <w:r>
        <w:rPr>
          <w:u w:color="000000" w:themeColor="text1"/>
        </w:rPr>
        <w:noBreakHyphen/>
        <w:t>3</w:t>
      </w:r>
      <w:r>
        <w:rPr>
          <w:u w:color="000000" w:themeColor="text1"/>
        </w:rPr>
        <w:noBreakHyphen/>
        <w:t xml:space="preserve">200 as added by Part II, Section 128 of Act No. 497 of 1994; or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r>
      <w:r>
        <w:rPr>
          <w:u w:color="000000" w:themeColor="text1"/>
        </w:rPr>
        <w:tab/>
        <w:t>(c)</w:t>
      </w:r>
      <w:r>
        <w:rPr>
          <w:u w:color="000000" w:themeColor="text1"/>
        </w:rPr>
        <w:tab/>
        <w:t>a transportation facility constructed by a private entity pursuant to the provisions of Article 3, Chapter 3, Title 57 on which a user fee is charged.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(3)</w:t>
      </w:r>
      <w:r>
        <w:rPr>
          <w:u w:color="000000" w:themeColor="text1"/>
        </w:rPr>
        <w:tab/>
        <w:t>‘Tolls’ shall mean the tolls, charges, or user fees imposed for the use of a toll road.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Section 57</w:t>
      </w:r>
      <w:r>
        <w:rPr>
          <w:u w:color="000000" w:themeColor="text1"/>
        </w:rPr>
        <w:noBreakHyphen/>
        <w:t>3</w:t>
      </w:r>
      <w:r>
        <w:rPr>
          <w:u w:color="000000" w:themeColor="text1"/>
        </w:rPr>
        <w:noBreakHyphen/>
        <w:t>910.</w:t>
      </w:r>
      <w:r>
        <w:rPr>
          <w:u w:color="000000" w:themeColor="text1"/>
        </w:rPr>
        <w:tab/>
        <w:t>No toll may be imposed on passage of any vehicle on federal interstate highways in this State which were in existence as of January 1, 1997, unless the imposition is otherwise affirmatively approved by the General Assembly in separate legislation enacted solely for that purpose.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lastRenderedPageBreak/>
        <w:tab/>
        <w:t>Section 57</w:t>
      </w:r>
      <w:r>
        <w:rPr>
          <w:u w:color="000000" w:themeColor="text1"/>
        </w:rPr>
        <w:noBreakHyphen/>
        <w:t>3</w:t>
      </w:r>
      <w:r>
        <w:rPr>
          <w:u w:color="000000" w:themeColor="text1"/>
        </w:rPr>
        <w:noBreakHyphen/>
        <w:t>920.</w:t>
      </w:r>
      <w:r>
        <w:rPr>
          <w:u w:color="000000" w:themeColor="text1"/>
        </w:rPr>
        <w:tab/>
        <w:t>Notwithstanding another provision of law, the department may impose and collect a toll on the proposed Interstate 73 corridor upon completion of this highway project.  This toll must not be imposed upon a state</w:t>
      </w:r>
      <w:r>
        <w:rPr>
          <w:u w:color="000000" w:themeColor="text1"/>
        </w:rPr>
        <w:noBreakHyphen/>
        <w:t>owned or district</w:t>
      </w:r>
      <w:r>
        <w:rPr>
          <w:u w:color="000000" w:themeColor="text1"/>
        </w:rPr>
        <w:noBreakHyphen/>
        <w:t>owned school bus, or authorized emergency vehicles as defined in Section 56</w:t>
      </w:r>
      <w:r>
        <w:rPr>
          <w:u w:color="000000" w:themeColor="text1"/>
        </w:rPr>
        <w:noBreakHyphen/>
        <w:t>5</w:t>
      </w:r>
      <w:r>
        <w:rPr>
          <w:u w:color="000000" w:themeColor="text1"/>
        </w:rPr>
        <w:noBreakHyphen/>
        <w:t>170.</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930.</w:t>
      </w:r>
      <w:r>
        <w:rPr>
          <w:rFonts w:eastAsia="Times New Roman"/>
          <w:u w:color="000000" w:themeColor="text1"/>
        </w:rPr>
        <w:tab/>
        <w:t>(A)</w:t>
      </w:r>
      <w:r>
        <w:rPr>
          <w:rFonts w:eastAsia="Times New Roman"/>
          <w:u w:color="000000" w:themeColor="text1"/>
        </w:rPr>
        <w:tab/>
        <w:t>For the purposes of this section, ‘costs associated with the toll road’ means the costs of acquisition, construction, improving, financing, refinancing, operating, maintaining, and the satisfaction of the obligations of any partnership agreement authorized pursuant</w:t>
      </w:r>
      <w:r>
        <w:rPr>
          <w:u w:color="000000" w:themeColor="text1"/>
        </w:rPr>
        <w:t xml:space="preserve"> to </w:t>
      </w:r>
      <w:r>
        <w:rPr>
          <w:rFonts w:eastAsia="Times New Roman"/>
          <w:u w:color="000000" w:themeColor="text1"/>
        </w:rPr>
        <w:t>Article 3, Title 3, Chapter 57.  Under no circumstances may a toll be collected for maintenance and operations on a road subject to a partnership agreement after the expiration of the partnership agreement.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Tolls imposed and collected on a toll road must only be used to pay for the costs associated with that toll road.  The tolls collected on a toll road must be: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credited to the State Highway Fund to be used for payment of costs associated with the toll road;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 xml:space="preserve">retained and applied by the entity or entities developing the toll road pursuant to a partnership agreement authorized pursuant to </w:t>
      </w:r>
      <w:r>
        <w:rPr>
          <w:u w:color="000000" w:themeColor="text1"/>
        </w:rPr>
        <w:t>Section 57</w:t>
      </w:r>
      <w:r>
        <w:rPr>
          <w:u w:color="000000" w:themeColor="text1"/>
        </w:rPr>
        <w:noBreakHyphen/>
        <w:t>3</w:t>
      </w:r>
      <w:r>
        <w:rPr>
          <w:u w:color="000000" w:themeColor="text1"/>
        </w:rPr>
        <w:noBreakHyphen/>
        <w:t>200 as added by Part II, Section 128 of Act No. 497 of 1994</w:t>
      </w:r>
      <w:r>
        <w:rPr>
          <w:rFonts w:eastAsia="Times New Roman"/>
          <w:u w:color="000000" w:themeColor="text1"/>
        </w:rPr>
        <w:t xml:space="preserve"> or a partnership agreement authorized pursuant to </w:t>
      </w:r>
      <w:r>
        <w:rPr>
          <w:u w:color="000000" w:themeColor="text1"/>
        </w:rPr>
        <w:t>Article 3, Title 3, Chapter 57</w:t>
      </w:r>
      <w:r>
        <w:rPr>
          <w:rFonts w:eastAsia="Times New Roman"/>
          <w:u w:color="000000" w:themeColor="text1"/>
        </w:rPr>
        <w:t xml:space="preserve">; or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used to service bonded indebtedness for the toll road pursuant to Paragraph 9, Section 13, Article X of the South Carolina Constitution.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ab/>
        <w:t>(C)</w:t>
      </w:r>
      <w:r>
        <w:rPr>
          <w:u w:color="000000" w:themeColor="text1"/>
        </w:rPr>
        <w:tab/>
        <w:t>Upon repayment of the costs associated with the toll road, the toll charges shall cease.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r>
        <w:rPr>
          <w:u w:color="000000" w:themeColor="text1"/>
        </w:rPr>
        <w:tab/>
        <w:t>Section 57</w:t>
      </w:r>
      <w:r>
        <w:rPr>
          <w:u w:color="000000" w:themeColor="text1"/>
        </w:rPr>
        <w:noBreakHyphen/>
        <w:t>3</w:t>
      </w:r>
      <w:r>
        <w:rPr>
          <w:u w:color="000000" w:themeColor="text1"/>
        </w:rPr>
        <w:noBreakHyphen/>
        <w:t>940.</w:t>
      </w:r>
      <w:r>
        <w:rPr>
          <w:u w:color="000000" w:themeColor="text1"/>
        </w:rPr>
        <w:tab/>
      </w:r>
      <w:r>
        <w:rPr>
          <w:rFonts w:eastAsia="Times New Roman"/>
          <w:szCs w:val="24"/>
          <w:u w:color="000000" w:themeColor="text1"/>
        </w:rPr>
        <w:t xml:space="preserve">Any person who uses any toll road and fails or refuses to pay the toll is guilty of a misdemeanor and, upon conviction, shall be punished by a fine of not more than two hundred dollars or by imprisonment for not more than thirty days, and in addition thereto the department shall have a lien upon the vehicle driven by such person for the amount of such toll and may take and retain possession thereof.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3</w:t>
      </w:r>
      <w:r>
        <w:rPr>
          <w:rFonts w:eastAsia="Times New Roman"/>
          <w:u w:color="000000" w:themeColor="text1"/>
        </w:rPr>
        <w:noBreakHyphen/>
        <w:t>950.</w:t>
      </w:r>
      <w:r>
        <w:rPr>
          <w:rFonts w:eastAsia="Times New Roman"/>
          <w:u w:color="000000" w:themeColor="text1"/>
        </w:rPr>
        <w:tab/>
        <w:t>(A)</w:t>
      </w:r>
      <w:r>
        <w:rPr>
          <w:rFonts w:eastAsia="Times New Roman"/>
          <w:u w:color="000000" w:themeColor="text1"/>
        </w:rPr>
        <w:tab/>
        <w:t xml:space="preserve">For the purposes of this section only: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‘Agent’ means a public or private entity operating a toll road pursuant to an agreement with the department.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Pr>
          <w:rFonts w:eastAsia="Times New Roman"/>
          <w:u w:color="000000" w:themeColor="text1"/>
        </w:rPr>
        <w:tab/>
        <w:t>(2)</w:t>
      </w:r>
      <w:r>
        <w:rPr>
          <w:rFonts w:eastAsia="Times New Roman"/>
          <w:u w:color="000000" w:themeColor="text1"/>
        </w:rPr>
        <w:tab/>
        <w:t>‘Department’ shall mean the South Carolina Department of Transportation.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 xml:space="preserve">‘Electronic toll collection system’ means a system of collecting tolls or charges which is capable of charging an account holder the appropriate toll or charge by transmission of information from an electronic device, transponder, barcode, or other device on a motor vehicle to the toll lane, which information is used to charge the account the appropriate toll or charge.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 xml:space="preserve">‘Lessor’ means any person, corporation, firm, partnership, agency, association, or organization renting or leasing vehicles to a lessee under a rental agreement, lease, or otherwise wherein the said lessee has the exclusive use of the vehicle for any period of time.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(5)</w:t>
      </w:r>
      <w:r>
        <w:rPr>
          <w:rFonts w:eastAsia="Times New Roman"/>
          <w:u w:color="000000" w:themeColor="text1"/>
        </w:rPr>
        <w:tab/>
        <w:t xml:space="preserve">‘Lessee’ means any person, corporation, firm, partnership, agency, association, or organization that rents, leases, or contracts for the use of one or more vehicles and has exclusive use of the vehicles for any period of time.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(6)</w:t>
      </w:r>
      <w:r>
        <w:rPr>
          <w:rFonts w:eastAsia="Times New Roman"/>
          <w:u w:color="000000" w:themeColor="text1"/>
        </w:rPr>
        <w:tab/>
        <w:t>‘Owner’ means a person or an entity who, at the time of a toll violation and with respect to the vehicle involved in the violation, is the registrant or co</w:t>
      </w:r>
      <w:r>
        <w:rPr>
          <w:rFonts w:eastAsia="Times New Roman"/>
          <w:u w:color="000000" w:themeColor="text1"/>
        </w:rPr>
        <w:noBreakHyphen/>
        <w:t xml:space="preserve">registrant of the vehicle with the South Carolina Department of Motor Vehicles or another state, territory, district, province, nation, or jurisdiction.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(7)</w:t>
      </w:r>
      <w:r>
        <w:rPr>
          <w:rFonts w:eastAsia="Times New Roman"/>
          <w:u w:color="000000" w:themeColor="text1"/>
        </w:rPr>
        <w:tab/>
        <w:t>‘Photo</w:t>
      </w:r>
      <w:r>
        <w:rPr>
          <w:rFonts w:eastAsia="Times New Roman"/>
          <w:u w:color="000000" w:themeColor="text1"/>
        </w:rPr>
        <w:noBreakHyphen/>
        <w:t xml:space="preserve">monitoring system’ means a vehicle sensor installed to work in conjunction with a toll collection facility which automatically produces one or more photographs, one or more microphotographs, a videotape, or other recorded images of a vehicle at the time it is used or operated in violation of toll collection regulations.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(8)</w:t>
      </w:r>
      <w:r>
        <w:rPr>
          <w:rFonts w:eastAsia="Times New Roman"/>
          <w:u w:color="000000" w:themeColor="text1"/>
        </w:rPr>
        <w:tab/>
        <w:t xml:space="preserve">‘Toll violation’ means the passage of a vehicle through a toll collection point without payment of the required toll.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(9)</w:t>
      </w:r>
      <w:r>
        <w:rPr>
          <w:rFonts w:eastAsia="Times New Roman"/>
          <w:u w:color="000000" w:themeColor="text1"/>
        </w:rPr>
        <w:tab/>
        <w:t xml:space="preserve">‘Vehicle’ means a device in, upon, or by which a person or property is or may be transported or drawn upon a highway, except devices used exclusively upon stationary rails or tracks.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Notwithstanding another provision of law, when a vehicle is driven through a toll road without payment of the required toll, the owner and operator of the vehicle are jointly and severally liable to the department to pay the required toll, administrative fees, and civil penalty as provided in this section.  The department may enforce collection of the required toll as provided for in this section.  In addition, the department or its agent shall have a lien upon the vehicle for the amount of the toll and may take and retain possession of the vehicle until the lien is satisfied.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t>(C)</w:t>
      </w:r>
      <w:r>
        <w:rPr>
          <w:rFonts w:eastAsia="Times New Roman"/>
          <w:u w:color="000000" w:themeColor="text1"/>
        </w:rPr>
        <w:tab/>
        <w:t>A certificate, sworn to or affirmed by the department or its agent, or a facsimile of it, that a toll violation has occurred, based upon inspection of photographs, microphotographs, videotape, or other recorded images produced by a photo</w:t>
      </w:r>
      <w:r>
        <w:rPr>
          <w:rFonts w:eastAsia="Times New Roman"/>
          <w:u w:color="000000" w:themeColor="text1"/>
        </w:rPr>
        <w:noBreakHyphen/>
        <w:t xml:space="preserve">monitoring system, is prima facie evidence of the violation and is admissible in any proceeding charging a toll violation pursuant to this section.  A photograph, microphotograph, videotape, or other recorded image evidencing a violation must be available for inspection by the party charged and is admissible into evidence in a proceeding to adjudicate liability for a violation.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(D)</w:t>
      </w:r>
      <w:r>
        <w:rPr>
          <w:rFonts w:eastAsia="Times New Roman"/>
          <w:u w:color="000000" w:themeColor="text1"/>
        </w:rPr>
        <w:tab/>
        <w:t xml:space="preserve">The department or its agent may assess and collect administrative fees of: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not more than ten dollars for the first toll violation within a period of one year; or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not more than twenty</w:t>
      </w:r>
      <w:r>
        <w:rPr>
          <w:rFonts w:eastAsia="Times New Roman"/>
          <w:u w:color="000000" w:themeColor="text1"/>
        </w:rPr>
        <w:noBreakHyphen/>
        <w:t xml:space="preserve">five dollars for each subsequent toll violation within a period of one year.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(E)</w:t>
      </w:r>
      <w:r>
        <w:rPr>
          <w:rFonts w:eastAsia="Times New Roman"/>
          <w:u w:color="000000" w:themeColor="text1"/>
        </w:rPr>
        <w:tab/>
        <w:t>Upon failure to pay the required toll and administrative fees to the department or its agent within thirty days of the notice, the owner or operator may be cited for failure to pay a toll pursuant to this subsection and, upon an adjudication of liability, is subject to a civil penalty not to exceed fifty dollars for each violation as contained in subsection (F).  Upon an adjudication of liability, a judgment must be entered against the owner or operator, and the court must mail a copy of the judgment to the owner or operator.  Upon failure to satisfy the judgment within thirty days, the court shall notify the Department of Motor Vehicles and the agent, and the Department of Motor Vehicles shall suspend the registration of the vehicle that was operated when the toll was not paid or the vehicle to which that vehicle’s license plate has been transferred and deny the vehicle’s registration or re</w:t>
      </w:r>
      <w:r>
        <w:rPr>
          <w:rFonts w:eastAsia="Times New Roman"/>
          <w:u w:color="000000" w:themeColor="text1"/>
        </w:rPr>
        <w:noBreakHyphen/>
        <w:t>registration pursuant to Section 56</w:t>
      </w:r>
      <w:r>
        <w:rPr>
          <w:rFonts w:eastAsia="Times New Roman"/>
          <w:u w:color="000000" w:themeColor="text1"/>
        </w:rPr>
        <w:noBreakHyphen/>
        <w:t>3</w:t>
      </w:r>
      <w:r>
        <w:rPr>
          <w:rFonts w:eastAsia="Times New Roman"/>
          <w:u w:color="000000" w:themeColor="text1"/>
        </w:rPr>
        <w:noBreakHyphen/>
        <w:t>1335.  The suspension shall remain in effect until the judgment is satisfied and evidence of its satisfaction has been presented to the Department of Motor Vehicles and the department’s agent.  An owner or operator who has been convicted of a violation of Section 57</w:t>
      </w:r>
      <w:r>
        <w:rPr>
          <w:rFonts w:eastAsia="Times New Roman"/>
          <w:u w:color="000000" w:themeColor="text1"/>
        </w:rPr>
        <w:noBreakHyphen/>
        <w:t>3</w:t>
      </w:r>
      <w:r>
        <w:rPr>
          <w:rFonts w:eastAsia="Times New Roman"/>
          <w:u w:color="000000" w:themeColor="text1"/>
        </w:rPr>
        <w:noBreakHyphen/>
        <w:t xml:space="preserve">940 is not liable for the penalty imposed by this subsection.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(F)</w:t>
      </w:r>
      <w:r>
        <w:rPr>
          <w:rFonts w:eastAsia="Times New Roman"/>
          <w:u w:color="000000" w:themeColor="text1"/>
        </w:rPr>
        <w:tab/>
        <w:t xml:space="preserve">If a magistrate or municipal judge determines that the person or entity charged with liability under this section is liable, the magistrate or municipal judge shall collect the unpaid tolls and administrative fee and forward them to the department or its agent.  The magistrate or municipal judge also may impose a civil penalty of up to fifty dollars for each violation, plus court costs.  The civil penalty must be distributed in the same manner as other fines and </w:t>
      </w:r>
      <w:r>
        <w:rPr>
          <w:rFonts w:eastAsia="Times New Roman"/>
          <w:u w:color="000000" w:themeColor="text1"/>
        </w:rPr>
        <w:lastRenderedPageBreak/>
        <w:t xml:space="preserve">penalties collected by the magistrate.  Notwithstanding another provision of law: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 xml:space="preserve">adjudication of liability pursuant to this section must be made by the magistrate’s court of the county in which the toll facility is located or the municipal court of the city in which the toll facility is located; and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an imposition of liability pursuant to this section must be based upon a preponderance of evidence submitted and is not a conviction as an operator pursuant to Section 57</w:t>
      </w:r>
      <w:r>
        <w:rPr>
          <w:rFonts w:eastAsia="Times New Roman"/>
          <w:u w:color="000000" w:themeColor="text1"/>
        </w:rPr>
        <w:noBreakHyphen/>
        <w:t>3</w:t>
      </w:r>
      <w:r>
        <w:rPr>
          <w:rFonts w:eastAsia="Times New Roman"/>
          <w:u w:color="000000" w:themeColor="text1"/>
        </w:rPr>
        <w:noBreakHyphen/>
        <w:t xml:space="preserve">940.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(G)</w:t>
      </w:r>
      <w:r>
        <w:rPr>
          <w:rFonts w:eastAsia="Times New Roman"/>
          <w:u w:color="000000" w:themeColor="text1"/>
        </w:rPr>
        <w:tab/>
        <w:t xml:space="preserve">The department or its agent shall send: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a ‘First Notice to Pay Toll’ to the owner or operator of a vehicle which, on one occasion in any twelve</w:t>
      </w:r>
      <w:r>
        <w:rPr>
          <w:rFonts w:eastAsia="Times New Roman"/>
          <w:u w:color="000000" w:themeColor="text1"/>
        </w:rPr>
        <w:noBreakHyphen/>
        <w:t xml:space="preserve">month period, is identified as having been involved in a toll violation.  The first notice must require payment to the department of the required toll, plus an administrative fee as provided for in subsection (D), within thirty days of the mailing of the notice;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a ‘Second Notice to Pay Toll’ to the owner or operator of a vehicle which is identified as having been involved in a second toll violation in a twelve</w:t>
      </w:r>
      <w:r>
        <w:rPr>
          <w:rFonts w:eastAsia="Times New Roman"/>
          <w:u w:color="000000" w:themeColor="text1"/>
        </w:rPr>
        <w:noBreakHyphen/>
        <w:t xml:space="preserve">month period, or who has failed to respond to a ‘First Notice to Pay Toll’ within the required time period.  The second notice must require payment to the department of the required tolls, plus an administrative fee as provided for in subsection (D) for each violation within thirty days of the mailing of the notice;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a ‘Failure to Pay Toll’ citation to the owner or operator of a vehicle which is identified as having been involved in a third toll violation in a twelve</w:t>
      </w:r>
      <w:r>
        <w:rPr>
          <w:rFonts w:eastAsia="Times New Roman"/>
          <w:u w:color="000000" w:themeColor="text1"/>
        </w:rPr>
        <w:noBreakHyphen/>
        <w:t>month period, or who has failed to respond to the second notice within the required time period.  The citation requires payment to the department of the unpaid tolls, plus an administrative fee of not more than twenty</w:t>
      </w:r>
      <w:r>
        <w:rPr>
          <w:rFonts w:eastAsia="Times New Roman"/>
          <w:u w:color="000000" w:themeColor="text1"/>
        </w:rPr>
        <w:noBreakHyphen/>
        <w:t>five dollars for each violation, within thirty days, or the recipient’s appearance in magistrate’s court of the county in which the violation occurred or the municipal court of the city in which the violation has occurred to contest the citation.  A ‘Failure to Pay Toll’ citation constitutes the summons and complaint for an action to recover the toll and all applicable fees allowed pursuant to this section;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notwithstanding another provision of law, the notices and citation required by subsection (G) by first</w:t>
      </w:r>
      <w:r>
        <w:rPr>
          <w:rFonts w:eastAsia="Times New Roman"/>
          <w:u w:color="000000" w:themeColor="text1"/>
        </w:rPr>
        <w:noBreakHyphen/>
        <w:t xml:space="preserve">class mail to the owner or operator of the vehicle identified as being involved in the toll violation.  If a vehicle is registered in two or more names, the notices or citation must be mailed to the first name listed on the registration records.  Notwithstanding another provision of law, personal delivery of the notices and citation is not required.  A </w:t>
      </w:r>
      <w:r>
        <w:rPr>
          <w:rFonts w:eastAsia="Times New Roman"/>
          <w:u w:color="000000" w:themeColor="text1"/>
        </w:rPr>
        <w:lastRenderedPageBreak/>
        <w:t>manual or automatic record of the mailing of the notices or citation prepared in the ordinary course of business is prima facie evidence of the mailing of the notices or citation; and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(5)</w:t>
      </w:r>
      <w:r>
        <w:rPr>
          <w:rFonts w:eastAsia="Times New Roman"/>
          <w:u w:color="000000" w:themeColor="text1"/>
        </w:rPr>
        <w:tab/>
        <w:t xml:space="preserve">the notices and citation required by this subsection must contain the following information: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(a)</w:t>
      </w:r>
      <w:r>
        <w:rPr>
          <w:rFonts w:eastAsia="Times New Roman"/>
          <w:u w:color="000000" w:themeColor="text1"/>
        </w:rPr>
        <w:tab/>
        <w:t xml:space="preserve">the name and address of the person or entity alleged to be liable for a failure to pay a toll pursuant to this section;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(b)</w:t>
      </w:r>
      <w:r>
        <w:rPr>
          <w:rFonts w:eastAsia="Times New Roman"/>
          <w:u w:color="000000" w:themeColor="text1"/>
        </w:rPr>
        <w:tab/>
        <w:t xml:space="preserve">the registration number of the vehicle involved in the toll violation;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(c)</w:t>
      </w:r>
      <w:r>
        <w:rPr>
          <w:rFonts w:eastAsia="Times New Roman"/>
          <w:u w:color="000000" w:themeColor="text1"/>
        </w:rPr>
        <w:tab/>
        <w:t xml:space="preserve">the location where the toll violation took place;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(d)</w:t>
      </w:r>
      <w:r>
        <w:rPr>
          <w:rFonts w:eastAsia="Times New Roman"/>
          <w:u w:color="000000" w:themeColor="text1"/>
        </w:rPr>
        <w:tab/>
        <w:t xml:space="preserve">the date and time of the toll violation;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(e)</w:t>
      </w:r>
      <w:r>
        <w:rPr>
          <w:rFonts w:eastAsia="Times New Roman"/>
          <w:u w:color="000000" w:themeColor="text1"/>
        </w:rPr>
        <w:tab/>
        <w:t>the identification number of the photo</w:t>
      </w:r>
      <w:r>
        <w:rPr>
          <w:rFonts w:eastAsia="Times New Roman"/>
          <w:u w:color="000000" w:themeColor="text1"/>
        </w:rPr>
        <w:noBreakHyphen/>
        <w:t xml:space="preserve">monitoring system which recorded the violation or other document locator number;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(f)</w:t>
      </w:r>
      <w:r>
        <w:rPr>
          <w:rFonts w:eastAsia="Times New Roman"/>
          <w:u w:color="000000" w:themeColor="text1"/>
        </w:rPr>
        <w:tab/>
        <w:t xml:space="preserve">information advising of the manner and time in which liability may be contested;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(g)</w:t>
      </w:r>
      <w:r>
        <w:rPr>
          <w:rFonts w:eastAsia="Times New Roman"/>
          <w:u w:color="000000" w:themeColor="text1"/>
        </w:rPr>
        <w:tab/>
        <w:t xml:space="preserve">a warning advising that failure to contest liability in the manner and time provided in this section is an admission of liability; and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(h)</w:t>
      </w:r>
      <w:r>
        <w:rPr>
          <w:rFonts w:eastAsia="Times New Roman"/>
          <w:u w:color="000000" w:themeColor="text1"/>
        </w:rPr>
        <w:tab/>
        <w:t xml:space="preserve">information advising that failure to pay a toll may result in the suspension of vehicle registration and that a lien may be levied on the vehicle.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(H)</w:t>
      </w:r>
      <w:r>
        <w:rPr>
          <w:rFonts w:eastAsia="Times New Roman"/>
          <w:u w:color="000000" w:themeColor="text1"/>
        </w:rPr>
        <w:tab/>
        <w:t xml:space="preserve">If a vehicle owner receives a notice or citation pursuant to this section for a period during which the vehicle involved in the toll violation was: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reported to a law enforcement division as having been stolen, a valid defense to an allegation of liability for a failure to pay a toll is that the vehicle had been reported to a law enforcement division as stolen before the time the violation occurred and had not been recovered by the time of the violation.  If an owner receives a notice or citation pursuant to this section for a violation which occurred during a time period in which the vehicle was stolen, but which had not been reported to a law enforcement division as having been stolen, a valid defense to an allegation of liability for a toll violation pursuant to this section is that the vehicle was reported as stolen within two hours after the discovery of the theft by the owner.  For purposes of asserting the defense provided by this subitem, a certified copy of the police report on the stolen vehicle, sent by first</w:t>
      </w:r>
      <w:r>
        <w:rPr>
          <w:rFonts w:eastAsia="Times New Roman"/>
          <w:u w:color="000000" w:themeColor="text1"/>
        </w:rPr>
        <w:noBreakHyphen/>
        <w:t>class mail to the department, its agent, or the magistrate’s court or the municipal court having jurisdiction of the citation within thirty days after receipt of the notices or citation, is sufficient; or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Pr>
          <w:rFonts w:eastAsia="Times New Roman"/>
          <w:u w:color="000000" w:themeColor="text1"/>
        </w:rPr>
        <w:tab/>
        <w:t>(2)</w:t>
      </w:r>
      <w:r>
        <w:rPr>
          <w:rFonts w:eastAsia="Times New Roman"/>
          <w:u w:color="000000" w:themeColor="text1"/>
        </w:rPr>
        <w:tab/>
        <w:t>leased to another person or entity, the lessor is not liable for the violation if the lessor sends to the department or to the court having jurisdiction over the citation a copy of the rental, lease, or another contract document covering the vehicle on the date of the violation, with the name and address of the lessee clearly legible, within thirty days after receiving the notices or citation.  Failure to send the information within the thirty</w:t>
      </w:r>
      <w:r>
        <w:rPr>
          <w:rFonts w:eastAsia="Times New Roman"/>
          <w:u w:color="000000" w:themeColor="text1"/>
        </w:rPr>
        <w:noBreakHyphen/>
        <w:t xml:space="preserve">day period renders the lessor liable for the unpaid tolls and any administrative fees or penalties assessed pursuant to this section.  If the lessor complies with the provisions of this subitem, the lessee of the vehicle on the date of the violation is subject to liability for the failure to pay the toll if the department or its agent mails a notice of liability to the lessee within thirty days after receipt of a copy of the rental, lease, or other contract document.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(I)</w:t>
      </w:r>
      <w:r>
        <w:rPr>
          <w:rFonts w:eastAsia="Times New Roman"/>
          <w:u w:color="000000" w:themeColor="text1"/>
        </w:rPr>
        <w:tab/>
        <w:t xml:space="preserve">If a person or entity receives a notice or citation pursuant to this section, it is a valid defense to liability that the person or entity that receives the notice was not the owner of the vehicle at the time of the toll violation.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(J)</w:t>
      </w:r>
      <w:r>
        <w:rPr>
          <w:rFonts w:eastAsia="Times New Roman"/>
          <w:u w:color="000000" w:themeColor="text1"/>
        </w:rPr>
        <w:tab/>
        <w:t xml:space="preserve">If an owner who pays the required tolls, fees, or penalties, or all of them pursuant to this section was not the operator of the vehicle at the time of the violation, the owner may maintain an action for indemnification against the operator.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(K)</w:t>
      </w:r>
      <w:r>
        <w:rPr>
          <w:rFonts w:eastAsia="Times New Roman"/>
          <w:u w:color="000000" w:themeColor="text1"/>
        </w:rPr>
        <w:tab/>
        <w:t>An owner of a vehicle is not liable for a penalty imposed pursuant to this section if the operator of the vehicle has been convicted of a violation of Section 57</w:t>
      </w:r>
      <w:r>
        <w:rPr>
          <w:rFonts w:eastAsia="Times New Roman"/>
          <w:u w:color="000000" w:themeColor="text1"/>
        </w:rPr>
        <w:noBreakHyphen/>
        <w:t>3</w:t>
      </w:r>
      <w:r>
        <w:rPr>
          <w:rFonts w:eastAsia="Times New Roman"/>
          <w:u w:color="000000" w:themeColor="text1"/>
        </w:rPr>
        <w:noBreakHyphen/>
        <w:t xml:space="preserve">940 for the same incident.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(L)</w:t>
      </w:r>
      <w:r>
        <w:rPr>
          <w:rFonts w:eastAsia="Times New Roman"/>
          <w:u w:color="000000" w:themeColor="text1"/>
        </w:rPr>
        <w:tab/>
        <w:t xml:space="preserve">Where electronic toll collection systems are utilized: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 xml:space="preserve">a person who would like to make payment of tolls electronically must apply to the department or its agent to become an account holder.  The department or its agent, in its discretion, may deny the application of a person.  A person whose application is accepted must execute an account holder’s agreement.  The terms of the account holder’s agreement must be established by the department;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 xml:space="preserve">the department shall ensure that adequate and timely notice is given to all electronic toll collection system account holders to inform them when their accounts are delinquent.  The owner of a vehicle who is an account holder under the electronic toll collection system is not liable for a failure to pay a toll pursuant to the provisions of this section unless the department or its agent has first sent a notice of delinquency to the account holder and the account holder was delinquent at the time of the violation;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 xml:space="preserve">the department shall not sell, distribute, or make available the names and addresses of electronic toll collection </w:t>
      </w:r>
      <w:r>
        <w:rPr>
          <w:rFonts w:eastAsia="Times New Roman"/>
          <w:u w:color="000000" w:themeColor="text1"/>
        </w:rPr>
        <w:lastRenderedPageBreak/>
        <w:t xml:space="preserve">system account holders, without the account holder’s consent, to any entity that uses the information for commercial purposes.  However, this restriction does not preclude the exchange of this information between entities with jurisdiction over or operating a toll highway bridge or tunnel in any state or Canadian province;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information or data collected by the department or its authorized agent for the purpose of establishing and monitoring electronic toll collection accounts is not subject to disclosure under the Freedom of Information Act;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(5)</w:t>
      </w:r>
      <w:r>
        <w:rPr>
          <w:rFonts w:eastAsia="Times New Roman"/>
          <w:u w:color="000000" w:themeColor="text1"/>
        </w:rPr>
        <w:tab/>
        <w:t xml:space="preserve">notwithstanding another provision of law, all information, data, photographs, microphotographs, videotape, or other recorded images prepared pursuant to this section must be for the exclusive use of the department or its authorized agent in the discharge of its duties under this section and must not be open to the public, subject to the disclosure under the Freedom of Information Act, nor used in a court in an action or a proceeding pending unless the action or proceeding relates to the imposition of or indemnification for liability pursuant to this section.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(M)</w:t>
      </w:r>
      <w:r>
        <w:rPr>
          <w:rFonts w:eastAsia="Times New Roman"/>
          <w:u w:color="000000" w:themeColor="text1"/>
        </w:rPr>
        <w:tab/>
        <w:t>Notwithstanding any other provision of law, school buses transporting school children for a school event and authorized emergency vehicles as defined in Section 57</w:t>
      </w:r>
      <w:r>
        <w:rPr>
          <w:rFonts w:eastAsia="Times New Roman"/>
          <w:u w:color="000000" w:themeColor="text1"/>
        </w:rPr>
        <w:noBreakHyphen/>
        <w:t>5</w:t>
      </w:r>
      <w:r>
        <w:rPr>
          <w:rFonts w:eastAsia="Times New Roman"/>
          <w:u w:color="000000" w:themeColor="text1"/>
        </w:rPr>
        <w:noBreakHyphen/>
        <w:t>170 shall be exempt from the payment of any tolls.”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18"/>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szCs w:val="18"/>
        </w:rPr>
        <w:t>SECTION</w:t>
      </w:r>
      <w:r>
        <w:rPr>
          <w:rFonts w:eastAsia="Times New Roman"/>
          <w:szCs w:val="18"/>
        </w:rPr>
        <w:tab/>
        <w:t>4.</w:t>
      </w:r>
      <w:r>
        <w:rPr>
          <w:rFonts w:eastAsia="Times New Roman"/>
          <w:szCs w:val="18"/>
        </w:rPr>
        <w:tab/>
      </w:r>
      <w:r>
        <w:rPr>
          <w:rFonts w:eastAsia="Times New Roman"/>
          <w:u w:color="000000" w:themeColor="text1"/>
        </w:rPr>
        <w:t>Chapter 35, Title 11 of the 1976 Code is amended by adding:</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11</w:t>
      </w:r>
      <w:r>
        <w:rPr>
          <w:rFonts w:eastAsia="Times New Roman"/>
          <w:u w:color="000000" w:themeColor="text1"/>
        </w:rPr>
        <w:noBreakHyphen/>
        <w:t>35</w:t>
      </w:r>
      <w:r>
        <w:rPr>
          <w:rFonts w:eastAsia="Times New Roman"/>
          <w:u w:color="000000" w:themeColor="text1"/>
        </w:rPr>
        <w:noBreakHyphen/>
        <w:t>3075.</w:t>
      </w:r>
      <w:r>
        <w:rPr>
          <w:rFonts w:eastAsia="Times New Roman"/>
          <w:u w:color="000000" w:themeColor="text1"/>
        </w:rPr>
        <w:tab/>
      </w:r>
      <w:r>
        <w:rPr>
          <w:rFonts w:eastAsia="Times New Roman"/>
          <w:u w:color="000000" w:themeColor="text1"/>
        </w:rPr>
        <w:tab/>
        <w:t>(A)</w:t>
      </w:r>
      <w:r>
        <w:rPr>
          <w:rFonts w:eastAsia="Times New Roman"/>
          <w:u w:color="000000" w:themeColor="text1"/>
        </w:rPr>
        <w:tab/>
        <w:t>A procurement authorized pursuant to Article 3, Chapter 3, Title 57 is subject to this chapter except as otherwise provided in this section.  The exclusions contained in subsection (B) and the expanded discussions and proposal revisions contained in subsection (C) only apply to procurements authorized pursuant to Article 3, Chapter 3, Title 57.</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(B)</w:t>
      </w:r>
      <w:r>
        <w:rPr>
          <w:rFonts w:eastAsia="Times New Roman"/>
          <w:u w:color="000000" w:themeColor="text1"/>
        </w:rPr>
        <w:tab/>
        <w:t>A procurement authorized pursuant to Article 3, Chapter 3, Title 57 is exempt from the following sections, and the regulations implementing these sections: Section 11</w:t>
      </w:r>
      <w:r>
        <w:rPr>
          <w:rFonts w:eastAsia="Times New Roman"/>
          <w:u w:color="000000" w:themeColor="text1"/>
        </w:rPr>
        <w:noBreakHyphen/>
        <w:t>35</w:t>
      </w:r>
      <w:r>
        <w:rPr>
          <w:rFonts w:eastAsia="Times New Roman"/>
          <w:u w:color="000000" w:themeColor="text1"/>
        </w:rPr>
        <w:noBreakHyphen/>
        <w:t>1530(8) (Negotiations), Section 11</w:t>
      </w:r>
      <w:r>
        <w:rPr>
          <w:rFonts w:eastAsia="Times New Roman"/>
          <w:u w:color="000000" w:themeColor="text1"/>
        </w:rPr>
        <w:noBreakHyphen/>
        <w:t>35</w:t>
      </w:r>
      <w:r>
        <w:rPr>
          <w:rFonts w:eastAsia="Times New Roman"/>
          <w:u w:color="000000" w:themeColor="text1"/>
        </w:rPr>
        <w:noBreakHyphen/>
        <w:t>2030 (Multi</w:t>
      </w:r>
      <w:r>
        <w:rPr>
          <w:rFonts w:eastAsia="Times New Roman"/>
          <w:u w:color="000000" w:themeColor="text1"/>
        </w:rPr>
        <w:noBreakHyphen/>
        <w:t>term Contracts), Section 11</w:t>
      </w:r>
      <w:r>
        <w:rPr>
          <w:rFonts w:eastAsia="Times New Roman"/>
          <w:u w:color="000000" w:themeColor="text1"/>
        </w:rPr>
        <w:noBreakHyphen/>
        <w:t>35</w:t>
      </w:r>
      <w:r>
        <w:rPr>
          <w:rFonts w:eastAsia="Times New Roman"/>
          <w:u w:color="000000" w:themeColor="text1"/>
        </w:rPr>
        <w:noBreakHyphen/>
        <w:t>3021 (Subcontractor Substitution), Section 11</w:t>
      </w:r>
      <w:r>
        <w:rPr>
          <w:rFonts w:eastAsia="Times New Roman"/>
          <w:u w:color="000000" w:themeColor="text1"/>
        </w:rPr>
        <w:noBreakHyphen/>
        <w:t>35</w:t>
      </w:r>
      <w:r>
        <w:rPr>
          <w:rFonts w:eastAsia="Times New Roman"/>
          <w:u w:color="000000" w:themeColor="text1"/>
        </w:rPr>
        <w:noBreakHyphen/>
        <w:t>3025 (Approval of architectural, engineering, or construction changes which do not alter scope or intent or exceed approved budget), Section 11</w:t>
      </w:r>
      <w:r>
        <w:rPr>
          <w:rFonts w:eastAsia="Times New Roman"/>
          <w:u w:color="000000" w:themeColor="text1"/>
        </w:rPr>
        <w:noBreakHyphen/>
        <w:t>35</w:t>
      </w:r>
      <w:r>
        <w:rPr>
          <w:rFonts w:eastAsia="Times New Roman"/>
          <w:u w:color="000000" w:themeColor="text1"/>
        </w:rPr>
        <w:noBreakHyphen/>
        <w:t>3030 (Bond and Security), Section 11</w:t>
      </w:r>
      <w:r>
        <w:rPr>
          <w:rFonts w:eastAsia="Times New Roman"/>
          <w:u w:color="000000" w:themeColor="text1"/>
        </w:rPr>
        <w:noBreakHyphen/>
        <w:t>35</w:t>
      </w:r>
      <w:r>
        <w:rPr>
          <w:rFonts w:eastAsia="Times New Roman"/>
          <w:u w:color="000000" w:themeColor="text1"/>
        </w:rPr>
        <w:noBreakHyphen/>
        <w:t>3035 (Error and Omissions Insurance), Section 11</w:t>
      </w:r>
      <w:r>
        <w:rPr>
          <w:rFonts w:eastAsia="Times New Roman"/>
          <w:u w:color="000000" w:themeColor="text1"/>
        </w:rPr>
        <w:noBreakHyphen/>
        <w:t>35</w:t>
      </w:r>
      <w:r>
        <w:rPr>
          <w:rFonts w:eastAsia="Times New Roman"/>
          <w:u w:color="000000" w:themeColor="text1"/>
        </w:rPr>
        <w:noBreakHyphen/>
        <w:t>3037 (Other Forms of Security), Section 11</w:t>
      </w:r>
      <w:r>
        <w:rPr>
          <w:rFonts w:eastAsia="Times New Roman"/>
          <w:u w:color="000000" w:themeColor="text1"/>
        </w:rPr>
        <w:noBreakHyphen/>
        <w:t>35</w:t>
      </w:r>
      <w:r>
        <w:rPr>
          <w:rFonts w:eastAsia="Times New Roman"/>
          <w:u w:color="000000" w:themeColor="text1"/>
        </w:rPr>
        <w:noBreakHyphen/>
        <w:t>3060 (Fiscal Responsibility), Section 11</w:t>
      </w:r>
      <w:r>
        <w:rPr>
          <w:rFonts w:eastAsia="Times New Roman"/>
          <w:u w:color="000000" w:themeColor="text1"/>
        </w:rPr>
        <w:noBreakHyphen/>
        <w:t>35</w:t>
      </w:r>
      <w:r>
        <w:rPr>
          <w:rFonts w:eastAsia="Times New Roman"/>
          <w:u w:color="000000" w:themeColor="text1"/>
        </w:rPr>
        <w:noBreakHyphen/>
        <w:t xml:space="preserve">3070 (Approval of architectural, </w:t>
      </w:r>
      <w:r>
        <w:rPr>
          <w:rFonts w:eastAsia="Times New Roman"/>
          <w:u w:color="000000" w:themeColor="text1"/>
        </w:rPr>
        <w:lastRenderedPageBreak/>
        <w:t>engineering, or construction changes which do not alter scope or intent or exceed approved budget), Section 11</w:t>
      </w:r>
      <w:r>
        <w:rPr>
          <w:rFonts w:eastAsia="Times New Roman"/>
          <w:u w:color="000000" w:themeColor="text1"/>
        </w:rPr>
        <w:noBreakHyphen/>
        <w:t>35</w:t>
      </w:r>
      <w:r>
        <w:rPr>
          <w:rFonts w:eastAsia="Times New Roman"/>
          <w:u w:color="000000" w:themeColor="text1"/>
        </w:rPr>
        <w:noBreakHyphen/>
        <w:t>4230 (Authority to Resolve Contract and Breach of Contract Controversies), and Section 11</w:t>
      </w:r>
      <w:r>
        <w:rPr>
          <w:rFonts w:eastAsia="Times New Roman"/>
          <w:u w:color="000000" w:themeColor="text1"/>
        </w:rPr>
        <w:noBreakHyphen/>
        <w:t>35</w:t>
      </w:r>
      <w:r>
        <w:rPr>
          <w:rFonts w:eastAsia="Times New Roman"/>
          <w:u w:color="000000" w:themeColor="text1"/>
        </w:rPr>
        <w:noBreakHyphen/>
        <w:t>4320 (Contract Controversies).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(C)</w:t>
      </w:r>
      <w:r>
        <w:rPr>
          <w:rFonts w:eastAsia="Times New Roman"/>
          <w:u w:color="000000" w:themeColor="text1"/>
        </w:rPr>
        <w:tab/>
        <w:t xml:space="preserve">A procurement authorized pursuant to Article 3, Chapter 3, Title 57 may utilize expanded discussions and proposal revisions as provided in this subsection.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(1)</w:t>
      </w:r>
      <w:r>
        <w:rPr>
          <w:rFonts w:eastAsia="Times New Roman"/>
          <w:u w:color="000000" w:themeColor="text1"/>
        </w:rPr>
        <w:tab/>
        <w:t>Expanded discussions are exchanges between a governmental body and an offeror that are undertaken with the intent of allowing the offeror to revise its proposal.  These discussions may include bargaining.  Bargaining includes persuasion, alteration of assumptions and positions, give</w:t>
      </w:r>
      <w:r>
        <w:rPr>
          <w:rFonts w:eastAsia="Times New Roman"/>
          <w:u w:color="000000" w:themeColor="text1"/>
        </w:rPr>
        <w:noBreakHyphen/>
        <w:t>and</w:t>
      </w:r>
      <w:r>
        <w:rPr>
          <w:rFonts w:eastAsia="Times New Roman"/>
          <w:u w:color="000000" w:themeColor="text1"/>
        </w:rPr>
        <w:noBreakHyphen/>
        <w:t>take, and may apply to price, schedule, technical requirements, type of contract, or other terms of a proposed contract.  Expanded discussions are tailored to each offeror’s proposal.  If the governmental body elects to conduct expanded discussions, such discussions must be conducted with each offeror.  The primary objective of expanded discussions is to maximize the governmental body’s ability to obtain best value, based on the requirements and the evaluation factors set forth in the solicitation.  Expanded discussions may include changes to the request for proposals that do not exceed the general scope of the request for proposals or alter the scope of the initial competition.  In conducting discussions, the procurement officer shall control all exchanges.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(2)</w:t>
      </w:r>
      <w:r>
        <w:rPr>
          <w:rFonts w:eastAsia="Times New Roman"/>
          <w:u w:color="000000" w:themeColor="text1"/>
        </w:rPr>
        <w:tab/>
        <w:t xml:space="preserve">At a minimum, the procurement officer must, subject to </w:t>
      </w:r>
      <w:r w:rsidR="008905EE">
        <w:rPr>
          <w:rFonts w:eastAsia="Times New Roman"/>
          <w:u w:color="000000" w:themeColor="text1"/>
        </w:rPr>
        <w:t xml:space="preserve">subsection </w:t>
      </w:r>
      <w:r>
        <w:rPr>
          <w:rFonts w:eastAsia="Times New Roman"/>
          <w:u w:color="000000" w:themeColor="text1"/>
        </w:rPr>
        <w:t>(3) of this section, indicate to, or discuss with, each offeror still being considered for award, deficiencies, significant weaknesses, and adverse past performance information.  The procurement officer also is encouraged to discuss other aspects of the offeror’s proposal that could, in the opinion of the procurement officer, be altered or explained to enhance materially the proposal’s potential for award.  However, the procurement officer is not required to discuss every area where the proposal could be improved.  The scope and extent of discussions are a matter of procurement officer judgment.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(3)</w:t>
      </w:r>
      <w:r>
        <w:rPr>
          <w:rFonts w:eastAsia="Times New Roman"/>
          <w:u w:color="000000" w:themeColor="text1"/>
        </w:rPr>
        <w:tab/>
        <w:t>Government personnel involved in the acquisition shall not engage in conduct that: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(a)</w:t>
      </w:r>
      <w:r>
        <w:rPr>
          <w:rFonts w:eastAsia="Times New Roman"/>
          <w:u w:color="000000" w:themeColor="text1"/>
        </w:rPr>
        <w:tab/>
        <w:t>favors one offeror over another;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(b)</w:t>
      </w:r>
      <w:r>
        <w:rPr>
          <w:rFonts w:eastAsia="Times New Roman"/>
          <w:u w:color="000000" w:themeColor="text1"/>
        </w:rPr>
        <w:tab/>
        <w:t>reveals an offeror’s technical solution, including unique technology, innovative and unique uses of commercial items, or any information that would compromise an offeror’s intellectual property to another offeror;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ab/>
      </w:r>
      <w:r>
        <w:rPr>
          <w:rFonts w:eastAsia="Times New Roman"/>
          <w:u w:color="000000" w:themeColor="text1"/>
        </w:rPr>
        <w:tab/>
      </w:r>
      <w:r>
        <w:rPr>
          <w:rFonts w:eastAsia="Times New Roman"/>
          <w:u w:color="000000" w:themeColor="text1"/>
        </w:rPr>
        <w:tab/>
        <w:t>(c)</w:t>
      </w:r>
      <w:r>
        <w:rPr>
          <w:rFonts w:eastAsia="Times New Roman"/>
          <w:u w:color="000000" w:themeColor="text1"/>
        </w:rPr>
        <w:tab/>
        <w:t>reveals an offeror’s price without that offeror’s permission.  However, the procurement officer may inform an offeror that its price is considered by the governmental body to be too high, or too low, and reveal the results of the analysis supporting that conclusion.  It is also permissible, at the governmental body’s discretion, to indicate to all offerors the cost or price that the governmental body’s price analysis, market research, and other reviews have identified as reasonable;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(d)</w:t>
      </w:r>
      <w:r>
        <w:rPr>
          <w:rFonts w:eastAsia="Times New Roman"/>
          <w:u w:color="000000" w:themeColor="text1"/>
        </w:rPr>
        <w:tab/>
        <w:t>reveals the names of individuals providing reference information about an offeror’s past performance; or</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r>
      <w:r>
        <w:rPr>
          <w:rFonts w:eastAsia="Times New Roman"/>
          <w:u w:color="000000" w:themeColor="text1"/>
        </w:rPr>
        <w:tab/>
        <w:t>(e)</w:t>
      </w:r>
      <w:r>
        <w:rPr>
          <w:rFonts w:eastAsia="Times New Roman"/>
          <w:u w:color="000000" w:themeColor="text1"/>
        </w:rPr>
        <w:tab/>
        <w:t>knowingly furnishes source selection information, as defined by regulation.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r>
      <w:r>
        <w:rPr>
          <w:rFonts w:eastAsia="Times New Roman"/>
          <w:u w:color="000000" w:themeColor="text1"/>
        </w:rPr>
        <w:tab/>
        <w:t>(4)</w:t>
      </w:r>
      <w:r>
        <w:rPr>
          <w:rFonts w:eastAsia="Times New Roman"/>
          <w:u w:color="000000" w:themeColor="text1"/>
        </w:rPr>
        <w:tab/>
        <w:t>The procurement officer may request or allow proposal revisions to clarify and document understandings reached during negotiations.  At the conclusion of expanded discussions, each offeror shall be given an opportunity to submit a final proposal revision, including any revisions necessary to address any changes made to the solicitation.  The procurement officer is required to establish a common cut</w:t>
      </w:r>
      <w:r>
        <w:rPr>
          <w:rFonts w:eastAsia="Times New Roman"/>
          <w:u w:color="000000" w:themeColor="text1"/>
        </w:rPr>
        <w:noBreakHyphen/>
        <w:t>off date only for receipt of final proposal revisions.  Requests for final proposal revisions shall advise offerors that the final proposal revisions shall be in writing and that the government intends to make award without obtaining further revisions.”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5.</w:t>
      </w:r>
      <w:r>
        <w:rPr>
          <w:rFonts w:eastAsia="Times New Roman"/>
          <w:u w:color="000000" w:themeColor="text1"/>
        </w:rPr>
        <w:tab/>
        <w:t>Section 11</w:t>
      </w:r>
      <w:r>
        <w:rPr>
          <w:rFonts w:eastAsia="Times New Roman"/>
          <w:u w:color="000000" w:themeColor="text1"/>
        </w:rPr>
        <w:noBreakHyphen/>
        <w:t>35</w:t>
      </w:r>
      <w:r>
        <w:rPr>
          <w:rFonts w:eastAsia="Times New Roman"/>
          <w:u w:color="000000" w:themeColor="text1"/>
        </w:rPr>
        <w:noBreakHyphen/>
        <w:t>710(1)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u w:color="000000" w:themeColor="text1"/>
        </w:rPr>
        <w:tab/>
        <w:t>“(1)</w:t>
      </w:r>
      <w:r>
        <w:rPr>
          <w:rFonts w:eastAsia="Times New Roman"/>
          <w:u w:color="000000" w:themeColor="text1"/>
        </w:rPr>
        <w:tab/>
      </w:r>
      <w:r>
        <w:rPr>
          <w:rFonts w:eastAsia="Times New Roman"/>
          <w:u w:val="single" w:color="000000" w:themeColor="text1"/>
        </w:rPr>
        <w:t>except as provided in Section 11</w:t>
      </w:r>
      <w:r>
        <w:rPr>
          <w:rFonts w:eastAsia="Times New Roman"/>
          <w:u w:val="single" w:color="000000" w:themeColor="text1"/>
        </w:rPr>
        <w:noBreakHyphen/>
        <w:t>35</w:t>
      </w:r>
      <w:r>
        <w:rPr>
          <w:rFonts w:eastAsia="Times New Roman"/>
          <w:u w:val="single" w:color="000000" w:themeColor="text1"/>
        </w:rPr>
        <w:noBreakHyphen/>
        <w:t>3075,</w:t>
      </w:r>
      <w:r>
        <w:rPr>
          <w:rFonts w:eastAsia="Times New Roman"/>
          <w:u w:color="000000" w:themeColor="text1"/>
        </w:rPr>
        <w:t xml:space="preserve"> t</w:t>
      </w:r>
      <w:r>
        <w:t>he construction, maintenance, and repair of bridges, highways, and roads; vehicle and road equipment maintenance and repair; and other emergency</w:t>
      </w:r>
      <w:r>
        <w:noBreakHyphen/>
        <w:t>type parts or equipment utilized by the Department of Transportation or the Department of Public Safety;”</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u w:color="000000" w:themeColor="text1"/>
        </w:rPr>
      </w:pPr>
      <w:r>
        <w:rPr>
          <w:rFonts w:eastAsia="Times New Roman"/>
          <w:u w:color="000000" w:themeColor="text1"/>
        </w:rPr>
        <w:t>SECTION</w:t>
      </w:r>
      <w:r>
        <w:rPr>
          <w:rFonts w:eastAsia="Times New Roman"/>
          <w:u w:color="000000" w:themeColor="text1"/>
        </w:rPr>
        <w:tab/>
        <w:t>6.</w:t>
      </w:r>
      <w:r>
        <w:rPr>
          <w:rFonts w:eastAsia="Times New Roman"/>
          <w:u w:color="000000" w:themeColor="text1"/>
        </w:rPr>
        <w:tab/>
      </w:r>
      <w:r>
        <w:rPr>
          <w:rFonts w:eastAsia="MS Mincho"/>
          <w:szCs w:val="20"/>
          <w:u w:color="000000" w:themeColor="text1"/>
        </w:rPr>
        <w:t>Section 11</w:t>
      </w:r>
      <w:r>
        <w:rPr>
          <w:rFonts w:eastAsia="MS Mincho"/>
          <w:szCs w:val="20"/>
          <w:u w:color="000000" w:themeColor="text1"/>
        </w:rPr>
        <w:noBreakHyphen/>
        <w:t>35</w:t>
      </w:r>
      <w:r>
        <w:rPr>
          <w:rFonts w:eastAsia="MS Mincho"/>
          <w:szCs w:val="20"/>
          <w:u w:color="000000" w:themeColor="text1"/>
        </w:rPr>
        <w:noBreakHyphen/>
        <w:t>40(3)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MS Mincho"/>
          <w:szCs w:val="20"/>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r>
        <w:rPr>
          <w:rFonts w:eastAsia="MS Mincho"/>
          <w:szCs w:val="20"/>
          <w:u w:color="000000" w:themeColor="text1"/>
        </w:rPr>
        <w:tab/>
        <w:t>“(3)</w:t>
      </w:r>
      <w:r>
        <w:rPr>
          <w:rFonts w:eastAsia="MS Mincho"/>
          <w:szCs w:val="20"/>
          <w:u w:color="000000" w:themeColor="text1"/>
        </w:rPr>
        <w:tab/>
      </w:r>
      <w:r>
        <w:rPr>
          <w:rFonts w:eastAsia="Times New Roman"/>
          <w:szCs w:val="20"/>
          <w:u w:color="000000" w:themeColor="text1"/>
        </w:rPr>
        <w:t>Compliance with Federal Requirements.  Where a procurement involves the expenditure of federal assistance</w:t>
      </w:r>
      <w:r>
        <w:rPr>
          <w:rFonts w:eastAsia="Times New Roman"/>
          <w:szCs w:val="20"/>
          <w:u w:val="single" w:color="000000" w:themeColor="text1"/>
        </w:rPr>
        <w:t>, grant,</w:t>
      </w:r>
      <w:r>
        <w:rPr>
          <w:rFonts w:eastAsia="Times New Roman"/>
          <w:szCs w:val="20"/>
          <w:u w:color="000000" w:themeColor="text1"/>
        </w:rPr>
        <w:t xml:space="preserve"> or contract funds, the governmental body </w:t>
      </w:r>
      <w:r>
        <w:rPr>
          <w:rFonts w:eastAsia="Times New Roman"/>
          <w:strike/>
          <w:szCs w:val="20"/>
          <w:u w:color="000000" w:themeColor="text1"/>
        </w:rPr>
        <w:t>shall</w:t>
      </w:r>
      <w:r>
        <w:rPr>
          <w:rFonts w:eastAsia="Times New Roman"/>
          <w:szCs w:val="20"/>
          <w:u w:color="000000" w:themeColor="text1"/>
        </w:rPr>
        <w:t xml:space="preserve"> also </w:t>
      </w:r>
      <w:r>
        <w:rPr>
          <w:rFonts w:eastAsia="Times New Roman"/>
          <w:szCs w:val="20"/>
          <w:u w:val="single" w:color="000000" w:themeColor="text1"/>
        </w:rPr>
        <w:t>shall</w:t>
      </w:r>
      <w:r>
        <w:rPr>
          <w:rFonts w:eastAsia="Times New Roman"/>
          <w:szCs w:val="20"/>
          <w:u w:color="000000" w:themeColor="text1"/>
        </w:rPr>
        <w:t xml:space="preserve"> comply with </w:t>
      </w:r>
      <w:r>
        <w:rPr>
          <w:rFonts w:eastAsia="Times New Roman"/>
          <w:strike/>
          <w:szCs w:val="20"/>
          <w:u w:color="000000" w:themeColor="text1"/>
        </w:rPr>
        <w:t>such</w:t>
      </w:r>
      <w:r>
        <w:rPr>
          <w:rFonts w:eastAsia="Times New Roman"/>
          <w:szCs w:val="20"/>
          <w:u w:color="000000" w:themeColor="text1"/>
        </w:rPr>
        <w:t xml:space="preserve"> federal </w:t>
      </w:r>
      <w:r>
        <w:rPr>
          <w:rFonts w:eastAsia="Times New Roman"/>
          <w:strike/>
          <w:szCs w:val="20"/>
          <w:u w:color="000000" w:themeColor="text1"/>
        </w:rPr>
        <w:t>law and</w:t>
      </w:r>
      <w:r>
        <w:rPr>
          <w:rFonts w:eastAsia="Times New Roman"/>
          <w:szCs w:val="20"/>
          <w:u w:color="000000" w:themeColor="text1"/>
        </w:rPr>
        <w:t xml:space="preserve"> </w:t>
      </w:r>
      <w:r>
        <w:rPr>
          <w:rFonts w:eastAsia="Times New Roman"/>
          <w:szCs w:val="20"/>
          <w:u w:val="single" w:color="000000" w:themeColor="text1"/>
        </w:rPr>
        <w:t>laws, including</w:t>
      </w:r>
      <w:r>
        <w:rPr>
          <w:rFonts w:eastAsia="Times New Roman"/>
          <w:szCs w:val="20"/>
          <w:u w:color="000000" w:themeColor="text1"/>
        </w:rPr>
        <w:t xml:space="preserve"> authorized regulations</w:t>
      </w:r>
      <w:r>
        <w:rPr>
          <w:rFonts w:eastAsia="Times New Roman"/>
          <w:szCs w:val="20"/>
          <w:u w:val="single" w:color="000000" w:themeColor="text1"/>
        </w:rPr>
        <w:t>,</w:t>
      </w:r>
      <w:r>
        <w:rPr>
          <w:rFonts w:eastAsia="Times New Roman"/>
          <w:szCs w:val="20"/>
          <w:u w:color="000000" w:themeColor="text1"/>
        </w:rPr>
        <w:t xml:space="preserve"> as are mandatorily applicable and which are not presently reflected in </w:t>
      </w:r>
      <w:r>
        <w:rPr>
          <w:rFonts w:eastAsia="Times New Roman"/>
          <w:strike/>
          <w:szCs w:val="20"/>
          <w:u w:color="000000" w:themeColor="text1"/>
        </w:rPr>
        <w:t>the</w:t>
      </w:r>
      <w:r>
        <w:rPr>
          <w:rFonts w:eastAsia="Times New Roman"/>
          <w:szCs w:val="20"/>
          <w:u w:color="000000" w:themeColor="text1"/>
        </w:rPr>
        <w:t xml:space="preserve"> </w:t>
      </w:r>
      <w:r>
        <w:rPr>
          <w:rFonts w:eastAsia="Times New Roman"/>
          <w:szCs w:val="20"/>
          <w:u w:val="single" w:color="000000" w:themeColor="text1"/>
        </w:rPr>
        <w:t>this</w:t>
      </w:r>
      <w:r>
        <w:rPr>
          <w:rFonts w:eastAsia="Times New Roman"/>
          <w:szCs w:val="20"/>
          <w:u w:color="000000" w:themeColor="text1"/>
        </w:rPr>
        <w:t xml:space="preserve"> code.  Notwithstanding, where federal assistance</w:t>
      </w:r>
      <w:r>
        <w:rPr>
          <w:rFonts w:eastAsia="Times New Roman"/>
          <w:szCs w:val="20"/>
          <w:u w:val="single" w:color="000000" w:themeColor="text1"/>
        </w:rPr>
        <w:t>, grant,</w:t>
      </w:r>
      <w:r>
        <w:rPr>
          <w:rFonts w:eastAsia="Times New Roman"/>
          <w:szCs w:val="20"/>
          <w:u w:color="000000" w:themeColor="text1"/>
        </w:rPr>
        <w:t xml:space="preserve"> or contract funds are used in a procurement by a governmental </w:t>
      </w:r>
      <w:r>
        <w:rPr>
          <w:rFonts w:eastAsia="Times New Roman"/>
          <w:szCs w:val="20"/>
          <w:u w:color="000000" w:themeColor="text1"/>
        </w:rPr>
        <w:lastRenderedPageBreak/>
        <w:t>body as defined in Section 11</w:t>
      </w:r>
      <w:r>
        <w:rPr>
          <w:rFonts w:eastAsia="Times New Roman"/>
          <w:szCs w:val="20"/>
          <w:u w:color="000000" w:themeColor="text1"/>
        </w:rPr>
        <w:noBreakHyphen/>
        <w:t>35</w:t>
      </w:r>
      <w:r>
        <w:rPr>
          <w:rFonts w:eastAsia="Times New Roman"/>
          <w:szCs w:val="20"/>
          <w:u w:color="000000" w:themeColor="text1"/>
        </w:rPr>
        <w:noBreakHyphen/>
        <w:t xml:space="preserve">310(18), </w:t>
      </w:r>
      <w:r>
        <w:rPr>
          <w:rFonts w:eastAsia="Times New Roman"/>
          <w:szCs w:val="20"/>
          <w:u w:val="single" w:color="000000" w:themeColor="text1"/>
        </w:rPr>
        <w:t>this code, including any</w:t>
      </w:r>
      <w:r>
        <w:rPr>
          <w:rFonts w:eastAsia="Times New Roman"/>
          <w:szCs w:val="20"/>
          <w:u w:color="000000" w:themeColor="text1"/>
        </w:rPr>
        <w:t xml:space="preserve"> requirements that are more restrictive than federal requirements </w:t>
      </w:r>
      <w:r>
        <w:rPr>
          <w:rFonts w:eastAsia="Times New Roman"/>
          <w:strike/>
          <w:szCs w:val="20"/>
          <w:u w:color="000000" w:themeColor="text1"/>
        </w:rPr>
        <w:t>shall</w:t>
      </w:r>
      <w:r>
        <w:rPr>
          <w:rFonts w:eastAsia="Times New Roman"/>
          <w:szCs w:val="20"/>
          <w:u w:val="single" w:color="000000" w:themeColor="text1"/>
        </w:rPr>
        <w:t>, must</w:t>
      </w:r>
      <w:r>
        <w:rPr>
          <w:rFonts w:eastAsia="Times New Roman"/>
          <w:szCs w:val="20"/>
          <w:u w:color="000000" w:themeColor="text1"/>
        </w:rPr>
        <w:t xml:space="preserve"> be followed</w:t>
      </w:r>
      <w:r>
        <w:rPr>
          <w:rFonts w:eastAsia="Times New Roman"/>
          <w:szCs w:val="20"/>
          <w:u w:val="single" w:color="000000" w:themeColor="text1"/>
        </w:rPr>
        <w:t>, except to the extent such action would render the governmental body ineligible to receive federal funds whose receipt is conditioned on compliance with mandatorily applicable federal law</w:t>
      </w:r>
      <w:r>
        <w:rPr>
          <w:rFonts w:eastAsia="Times New Roman"/>
          <w:szCs w:val="20"/>
          <w:u w:color="000000" w:themeColor="text1"/>
        </w:rPr>
        <w:t xml:space="preserve">.  </w:t>
      </w:r>
      <w:r>
        <w:rPr>
          <w:rFonts w:eastAsia="Times New Roman"/>
          <w:szCs w:val="20"/>
          <w:u w:val="single" w:color="000000" w:themeColor="text1"/>
        </w:rPr>
        <w:t>In those circumstances, the solicitation must identify and explain the impact of such federal laws on the procurement process, including any required deviation from this code.</w:t>
      </w:r>
      <w:r>
        <w:rPr>
          <w:rFonts w:eastAsia="Times New Roman"/>
          <w:szCs w:val="20"/>
          <w:u w:color="000000" w:themeColor="text1"/>
        </w:rPr>
        <w: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0"/>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t>SECTION</w:t>
      </w:r>
      <w:r>
        <w:tab/>
        <w:t>7.</w:t>
      </w:r>
      <w:r>
        <w:tab/>
      </w:r>
      <w:r>
        <w:rPr>
          <w:rFonts w:eastAsia="Times New Roman"/>
          <w:u w:color="000000" w:themeColor="text1"/>
        </w:rPr>
        <w:t>Section 57</w:t>
      </w:r>
      <w:r>
        <w:rPr>
          <w:rFonts w:eastAsia="Times New Roman"/>
          <w:u w:color="000000" w:themeColor="text1"/>
        </w:rPr>
        <w:noBreakHyphen/>
        <w:t>5</w:t>
      </w:r>
      <w:r>
        <w:rPr>
          <w:rFonts w:eastAsia="Times New Roman"/>
          <w:u w:color="000000" w:themeColor="text1"/>
        </w:rPr>
        <w:noBreakHyphen/>
        <w:t>1625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1625.</w:t>
      </w:r>
      <w:r>
        <w:rPr>
          <w:rFonts w:eastAsia="Times New Roman"/>
          <w:u w:color="000000" w:themeColor="text1"/>
        </w:rPr>
        <w:tab/>
      </w:r>
      <w:r>
        <w:rPr>
          <w:rFonts w:eastAsia="Times New Roman"/>
          <w:szCs w:val="24"/>
        </w:rPr>
        <w:t>(A)</w:t>
      </w:r>
      <w:r>
        <w:rPr>
          <w:rFonts w:eastAsia="Times New Roman"/>
          <w:szCs w:val="24"/>
        </w:rPr>
        <w:tab/>
        <w:t>The department may award highway construction contracts using a design</w:t>
      </w:r>
      <w:r>
        <w:rPr>
          <w:rFonts w:eastAsia="Times New Roman"/>
          <w:szCs w:val="24"/>
        </w:rPr>
        <w:noBreakHyphen/>
        <w:t>build procedure.  A design</w:t>
      </w:r>
      <w:r>
        <w:rPr>
          <w:rFonts w:eastAsia="Times New Roman"/>
          <w:szCs w:val="24"/>
        </w:rPr>
        <w:noBreakHyphen/>
        <w:t xml:space="preserve">build contract means an agreement that provides for </w:t>
      </w:r>
      <w:r>
        <w:rPr>
          <w:rFonts w:eastAsia="Times New Roman"/>
          <w:szCs w:val="24"/>
          <w:u w:val="single"/>
        </w:rPr>
        <w:t>both</w:t>
      </w:r>
      <w:r>
        <w:rPr>
          <w:rFonts w:eastAsia="Times New Roman"/>
          <w:szCs w:val="24"/>
        </w:rPr>
        <w:t xml:space="preserve"> the design</w:t>
      </w:r>
      <w:r>
        <w:rPr>
          <w:rFonts w:eastAsia="Times New Roman"/>
          <w:strike/>
          <w:szCs w:val="24"/>
        </w:rPr>
        <w:t>, right</w:t>
      </w:r>
      <w:r>
        <w:rPr>
          <w:rFonts w:eastAsia="Times New Roman"/>
          <w:strike/>
          <w:szCs w:val="24"/>
        </w:rPr>
        <w:noBreakHyphen/>
        <w:t>of</w:t>
      </w:r>
      <w:r>
        <w:rPr>
          <w:rFonts w:eastAsia="Times New Roman"/>
          <w:strike/>
          <w:szCs w:val="24"/>
        </w:rPr>
        <w:noBreakHyphen/>
        <w:t>way acquisition,</w:t>
      </w:r>
      <w:r>
        <w:rPr>
          <w:rFonts w:eastAsia="Times New Roman"/>
          <w:szCs w:val="24"/>
        </w:rPr>
        <w:t xml:space="preserve"> and construction of a project by a single entity.  </w:t>
      </w:r>
      <w:r>
        <w:rPr>
          <w:rFonts w:eastAsia="Times New Roman"/>
          <w:strike/>
          <w:szCs w:val="24"/>
        </w:rPr>
        <w:t>The design</w:t>
      </w:r>
      <w:r>
        <w:rPr>
          <w:rFonts w:eastAsia="Times New Roman"/>
          <w:strike/>
          <w:szCs w:val="24"/>
        </w:rPr>
        <w:noBreakHyphen/>
        <w:t>build contract may also provide for the maintenance, operation, or financing of the project.  The agreement may be in the form of a design</w:t>
      </w:r>
      <w:r>
        <w:rPr>
          <w:rFonts w:eastAsia="Times New Roman"/>
          <w:strike/>
          <w:szCs w:val="24"/>
        </w:rPr>
        <w:noBreakHyphen/>
        <w:t>build contract, a franchise agreement, or any other form of contract approved by the department.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r>
        <w:rPr>
          <w:rFonts w:eastAsia="Times New Roman"/>
          <w:szCs w:val="24"/>
        </w:rPr>
        <w:tab/>
        <w:t>(B)</w:t>
      </w:r>
      <w:r>
        <w:rPr>
          <w:rFonts w:eastAsia="Times New Roman"/>
          <w:szCs w:val="24"/>
        </w:rPr>
        <w:tab/>
        <w:t>Selection criteria shall include the cost of the project and may include contractor qualifications, time of completion, innovation, design and construction quality, design innovation, or other technical or quality related criteria.”</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szCs w:val="24"/>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8.</w:t>
      </w: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1310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1310.</w:t>
      </w:r>
      <w:r>
        <w:rPr>
          <w:rFonts w:eastAsia="Times New Roman"/>
          <w:u w:color="000000" w:themeColor="text1"/>
        </w:rPr>
        <w:tab/>
        <w:t xml:space="preserve">This article is intended to provide an additional and an alternative method for the provision of and financing of highways and appurtenant facilities to the end that such highways may be undertaken </w:t>
      </w:r>
      <w:r>
        <w:rPr>
          <w:rFonts w:eastAsia="Times New Roman"/>
          <w:u w:val="single" w:color="000000" w:themeColor="text1"/>
        </w:rPr>
        <w:t>or improved</w:t>
      </w:r>
      <w:r>
        <w:rPr>
          <w:rFonts w:eastAsia="Times New Roman"/>
          <w:u w:color="000000" w:themeColor="text1"/>
        </w:rPr>
        <w:t xml:space="preserve"> in such manner as may best be calculated to expedite relief of hazardous and congested traffic conditions on the highways in the State and provide acceptable avenues for commerce and intercommunications by vehicular traffic among the several sections of the State.  In effecting this enactment, the General Assembly intends that the indebtedness herein authorized fall within the category permitted by Paragraph 9 of Section 13 of Article X of the Constitution of South Carolina.”</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lastRenderedPageBreak/>
        <w:t>SECTION</w:t>
      </w:r>
      <w:r>
        <w:rPr>
          <w:rFonts w:eastAsia="Times New Roman"/>
          <w:u w:color="000000" w:themeColor="text1"/>
        </w:rPr>
        <w:tab/>
        <w:t>9.</w:t>
      </w: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1320(2)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“(2)</w:t>
      </w:r>
      <w:r>
        <w:rPr>
          <w:rFonts w:eastAsia="Times New Roman"/>
          <w:u w:color="000000" w:themeColor="text1"/>
        </w:rPr>
        <w:tab/>
        <w:t xml:space="preserve">‘Turnpike facility’ means any express highway or limited access highway </w:t>
      </w:r>
      <w:r>
        <w:rPr>
          <w:rFonts w:eastAsia="Times New Roman"/>
          <w:u w:val="single" w:color="000000" w:themeColor="text1"/>
        </w:rPr>
        <w:t>or portion of it,</w:t>
      </w:r>
      <w:r>
        <w:rPr>
          <w:rFonts w:eastAsia="Times New Roman"/>
          <w:u w:color="000000" w:themeColor="text1"/>
        </w:rPr>
        <w:t xml:space="preserve"> constructed under the provisions of this article by the department, whether or not financed with turnpike bonds, including any bridge, tunnel, overpass, underpass, interchange, </w:t>
      </w:r>
      <w:r>
        <w:rPr>
          <w:rFonts w:eastAsia="Times New Roman"/>
          <w:u w:val="single" w:color="000000" w:themeColor="text1"/>
        </w:rPr>
        <w:t>additional lanes or capacity,</w:t>
      </w:r>
      <w:r>
        <w:rPr>
          <w:rFonts w:eastAsia="Times New Roman"/>
          <w:u w:color="000000" w:themeColor="text1"/>
        </w:rPr>
        <w:t xml:space="preserve"> entrance plaza, approach, toll house, service station and administration and storage and other buildings and facilities which the department considers necessary or desirable.  A turnpike facility constitutes a portion or extension of any existing or proposed highway in the state highway system;”</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10.</w:t>
      </w:r>
      <w:r>
        <w:rPr>
          <w:rFonts w:eastAsia="Times New Roman"/>
          <w:u w:color="000000" w:themeColor="text1"/>
        </w:rPr>
        <w:tab/>
        <w:t>Section 57</w:t>
      </w:r>
      <w:r>
        <w:rPr>
          <w:rFonts w:eastAsia="Times New Roman"/>
          <w:u w:color="000000" w:themeColor="text1"/>
        </w:rPr>
        <w:noBreakHyphen/>
        <w:t>5</w:t>
      </w:r>
      <w:r>
        <w:rPr>
          <w:rFonts w:eastAsia="Times New Roman"/>
          <w:u w:color="000000" w:themeColor="text1"/>
        </w:rPr>
        <w:noBreakHyphen/>
        <w:t>1330(1)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ab/>
        <w:t>“(1)</w:t>
      </w:r>
      <w:r>
        <w:rPr>
          <w:rFonts w:eastAsia="Times New Roman"/>
          <w:u w:color="000000" w:themeColor="text1"/>
        </w:rPr>
        <w:tab/>
        <w:t xml:space="preserve">The department may designate, establish, plan, improve, construct, maintain, operate, and regulate turnpike facilities as a part of the state highway system or any federal aid system whenever the department determines the traffic conditions, present or future, justify the facilities, except that the department may not designate as a turnpike facility any highway, road, bridge, or other transportation facility funded in whole </w:t>
      </w:r>
      <w:r>
        <w:rPr>
          <w:rFonts w:eastAsia="Times New Roman"/>
          <w:strike/>
          <w:u w:color="000000" w:themeColor="text1"/>
        </w:rPr>
        <w:t>or in part</w:t>
      </w:r>
      <w:r>
        <w:rPr>
          <w:rFonts w:eastAsia="Times New Roman"/>
          <w:u w:color="000000" w:themeColor="text1"/>
        </w:rPr>
        <w:t xml:space="preserve"> by a local option sales and use tax as provided in Chapter 37 of Title 4.  The department may utilize funds available for the maintenance of the state highway system for the maintenance of any turnpike facility financed pursuant to this article.”</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11.</w:t>
      </w:r>
      <w:r>
        <w:rPr>
          <w:rFonts w:eastAsia="Times New Roman"/>
          <w:u w:color="000000" w:themeColor="text1"/>
        </w:rPr>
        <w:tab/>
        <w:t>Section 40</w:t>
      </w:r>
      <w:r>
        <w:rPr>
          <w:rFonts w:eastAsia="Times New Roman"/>
          <w:u w:color="000000" w:themeColor="text1"/>
        </w:rPr>
        <w:noBreakHyphen/>
        <w:t>11</w:t>
      </w:r>
      <w:r>
        <w:rPr>
          <w:rFonts w:eastAsia="Times New Roman"/>
          <w:u w:color="000000" w:themeColor="text1"/>
        </w:rPr>
        <w:noBreakHyphen/>
        <w:t>360(A)(4) of the 1976 Code is amended to read:</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rPr>
          <w:rFonts w:eastAsia="Times New Roman"/>
          <w:u w:color="000000" w:themeColor="text1"/>
        </w:rPr>
        <w:tab/>
        <w:t>“</w:t>
      </w:r>
      <w:r>
        <w:t>(4)</w:t>
      </w:r>
      <w:r>
        <w:tab/>
        <w:t xml:space="preserve">Contractors performing construction work for the South Carolina Department of Transportation pursuant to that department’s prequalification requirements </w:t>
      </w:r>
      <w:r>
        <w:rPr>
          <w:strike/>
        </w:rPr>
        <w:t>with the exception of public/private partnerships performing work pursuant to Section 57</w:t>
      </w:r>
      <w:r>
        <w:rPr>
          <w:strike/>
        </w:rPr>
        <w:noBreakHyphen/>
        <w:t>3</w:t>
      </w:r>
      <w:r>
        <w:rPr>
          <w:strike/>
        </w:rPr>
        <w:noBreakHyphen/>
        <w:t>200</w:t>
      </w:r>
      <w:r w:rsidR="008905EE">
        <w:t xml:space="preserve"> </w:t>
      </w:r>
      <w:r w:rsidR="008905EE">
        <w:rPr>
          <w:u w:val="single"/>
        </w:rPr>
        <w:t>or a procurement authorized pursuant to Article 3, Chapter 3, Title 57</w:t>
      </w:r>
      <w:r>
        <w:t>;”</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SECTION</w:t>
      </w:r>
      <w:r>
        <w:tab/>
        <w:t>12.</w:t>
      </w:r>
      <w:r>
        <w:tab/>
        <w:t>Section 57</w:t>
      </w:r>
      <w:r>
        <w:noBreakHyphen/>
        <w:t>5</w:t>
      </w:r>
      <w:r>
        <w:noBreakHyphen/>
        <w:t>1660 of the 1976 Code is amended by adding:</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tab/>
        <w:t>“(e)</w:t>
      </w:r>
      <w:r>
        <w:tab/>
        <w:t>The provisions of this section do not apply to a procurement authorized pursuant to Article 3, Chapter 3, Title 57.</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pPr>
      <w:r>
        <w:lastRenderedPageBreak/>
        <w:tab/>
        <w:t>(f)</w:t>
      </w:r>
      <w:r>
        <w:tab/>
        <w:t>When the department utilizes the design</w:t>
      </w:r>
      <w:r>
        <w:noBreakHyphen/>
        <w:t>build delivery method authorized by Section 57</w:t>
      </w:r>
      <w:r>
        <w:noBreakHyphen/>
        <w:t>5</w:t>
      </w:r>
      <w:r>
        <w:noBreakHyphen/>
        <w:t>1625 for a highway construction project, the amount of the performance and indemnity bond and payment bonds required by this section shall relate only to the portion of the contract concerning construction.”</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r>
        <w:rPr>
          <w:rFonts w:eastAsia="Times New Roman"/>
          <w:u w:color="000000" w:themeColor="text1"/>
        </w:rPr>
        <w:t>SECTION</w:t>
      </w:r>
      <w:r>
        <w:rPr>
          <w:rFonts w:eastAsia="Times New Roman"/>
          <w:u w:color="000000" w:themeColor="text1"/>
        </w:rPr>
        <w:tab/>
        <w:t>13.</w:t>
      </w:r>
      <w:r>
        <w:rPr>
          <w:rFonts w:eastAsia="Times New Roman"/>
          <w:u w:color="000000" w:themeColor="text1"/>
        </w:rPr>
        <w:tab/>
        <w:t>It is the intent of the General Assembly that public</w:t>
      </w:r>
      <w:r>
        <w:rPr>
          <w:rFonts w:eastAsia="Times New Roman"/>
          <w:u w:color="000000" w:themeColor="text1"/>
        </w:rPr>
        <w:noBreakHyphen/>
        <w:t>private initiatives entered into pursuant to this act will be in all respects an essential governmental function dedicated for the public use that inures to the benefit of the people of this State through increased commerce and prosperity and the improvement of health and living conditions.</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Times New Roman"/>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r>
        <w:rPr>
          <w:u w:color="000000" w:themeColor="text1"/>
        </w:rPr>
        <w:t>SECTION</w:t>
      </w:r>
      <w:r>
        <w:rPr>
          <w:u w:color="000000" w:themeColor="text1"/>
        </w:rPr>
        <w:tab/>
        <w:t>14.</w:t>
      </w:r>
      <w:r>
        <w:rPr>
          <w:u w:color="000000" w:themeColor="text1"/>
        </w:rPr>
        <w:tab/>
        <w:t>The following sections of the 1976 Code are repealed: 12</w:t>
      </w:r>
      <w:r>
        <w:rPr>
          <w:u w:color="000000" w:themeColor="text1"/>
        </w:rPr>
        <w:noBreakHyphen/>
        <w:t>28</w:t>
      </w:r>
      <w:r>
        <w:rPr>
          <w:u w:color="000000" w:themeColor="text1"/>
        </w:rPr>
        <w:noBreakHyphen/>
        <w:t>2920, 57</w:t>
      </w:r>
      <w:r>
        <w:rPr>
          <w:u w:color="000000" w:themeColor="text1"/>
        </w:rPr>
        <w:noBreakHyphen/>
        <w:t>3</w:t>
      </w:r>
      <w:r>
        <w:rPr>
          <w:u w:color="000000" w:themeColor="text1"/>
        </w:rPr>
        <w:noBreakHyphen/>
        <w:t>200, 57</w:t>
      </w:r>
      <w:r>
        <w:rPr>
          <w:u w:color="000000" w:themeColor="text1"/>
        </w:rPr>
        <w:noBreakHyphen/>
        <w:t>3</w:t>
      </w:r>
      <w:r>
        <w:rPr>
          <w:u w:color="000000" w:themeColor="text1"/>
        </w:rPr>
        <w:noBreakHyphen/>
        <w:t>615, 57</w:t>
      </w:r>
      <w:r>
        <w:rPr>
          <w:u w:color="000000" w:themeColor="text1"/>
        </w:rPr>
        <w:noBreakHyphen/>
        <w:t>3</w:t>
      </w:r>
      <w:r>
        <w:rPr>
          <w:u w:color="000000" w:themeColor="text1"/>
        </w:rPr>
        <w:noBreakHyphen/>
        <w:t>618, 57</w:t>
      </w:r>
      <w:r>
        <w:rPr>
          <w:u w:color="000000" w:themeColor="text1"/>
        </w:rPr>
        <w:noBreakHyphen/>
        <w:t>5</w:t>
      </w:r>
      <w:r>
        <w:rPr>
          <w:u w:color="000000" w:themeColor="text1"/>
        </w:rPr>
        <w:noBreakHyphen/>
        <w:t>1490, and 57</w:t>
      </w:r>
      <w:r>
        <w:rPr>
          <w:u w:color="000000" w:themeColor="text1"/>
        </w:rPr>
        <w:noBreakHyphen/>
        <w:t>5</w:t>
      </w:r>
      <w:r>
        <w:rPr>
          <w:u w:color="000000" w:themeColor="text1"/>
        </w:rPr>
        <w:noBreakHyphen/>
        <w:t>1495.</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rFonts w:eastAsia="Calibri"/>
          <w:u w:color="000000" w:themeColor="text1"/>
        </w:rPr>
      </w:pPr>
      <w:r>
        <w:rPr>
          <w:rFonts w:eastAsia="Times New Roman"/>
          <w:u w:color="000000" w:themeColor="text1"/>
        </w:rPr>
        <w:t>SECTION</w:t>
      </w:r>
      <w:r>
        <w:rPr>
          <w:rFonts w:eastAsia="Times New Roman"/>
          <w:u w:color="000000" w:themeColor="text1"/>
        </w:rPr>
        <w:tab/>
        <w:t>15.</w:t>
      </w:r>
      <w:r>
        <w:rPr>
          <w:rFonts w:eastAsia="Times New Roman"/>
          <w:u w:color="000000" w:themeColor="text1"/>
        </w:rPr>
        <w:tab/>
      </w:r>
      <w:r>
        <w:rPr>
          <w:rFonts w:eastAsia="Calibri"/>
          <w:u w:color="000000" w:themeColor="text1"/>
        </w:rPr>
        <w:t xml:space="preserve">If any section, subsection, item, subitem,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item, subitem,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EF6064"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u w:color="000000" w:themeColor="text1"/>
        </w:rPr>
      </w:pPr>
    </w:p>
    <w:p w:rsidR="00522CE0" w:rsidRPr="00522CE0" w:rsidRDefault="00EF6064" w:rsidP="00EF606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u w:color="000000" w:themeColor="text1"/>
        </w:rPr>
        <w:t>SECTION</w:t>
      </w:r>
      <w:r>
        <w:rPr>
          <w:rFonts w:eastAsia="Times New Roman"/>
          <w:u w:color="000000" w:themeColor="text1"/>
        </w:rPr>
        <w:tab/>
        <w:t>16.</w:t>
      </w:r>
      <w:r>
        <w:rPr>
          <w:rFonts w:eastAsia="Times New Roman"/>
          <w:u w:color="000000" w:themeColor="text1"/>
        </w:rPr>
        <w:tab/>
        <w:t>This act takes effect upon approval by the Go</w:t>
      </w:r>
      <w:r>
        <w:rPr>
          <w:rFonts w:eastAsia="Times New Roman"/>
        </w:rPr>
        <w:t>vernor.</w:t>
      </w:r>
    </w:p>
    <w:p w:rsidR="002610B3"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2610B3" w:rsidRDefault="002610B3" w:rsidP="002610B3">
      <w:pPr>
        <w:suppressAutoHyphens/>
        <w:jc w:val="both"/>
        <w:rPr>
          <w:rFonts w:eastAsia="Times New Roman"/>
        </w:rPr>
      </w:pPr>
    </w:p>
    <w:sectPr w:rsidR="002610B3" w:rsidSect="002610B3">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A282D" w:rsidRDefault="00BA282D" w:rsidP="00522CE0">
      <w:r>
        <w:separator/>
      </w:r>
    </w:p>
  </w:endnote>
  <w:endnote w:type="continuationSeparator" w:id="0">
    <w:p w:rsidR="00BA282D" w:rsidRDefault="00BA282D" w:rsidP="00522CE0">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38174F94-C25F-41E4-834F-14D0282AAADF}"/>
    <w:embedBold r:id="rId2" w:fontKey="{3904AA2B-19B0-4FC8-86C4-97477A27B1EC}"/>
  </w:font>
  <w:font w:name="Calibri">
    <w:panose1 w:val="020F0502020204030204"/>
    <w:charset w:val="00"/>
    <w:family w:val="swiss"/>
    <w:pitch w:val="variable"/>
    <w:sig w:usb0="A00002EF" w:usb1="4000207B" w:usb2="00000000" w:usb3="00000000" w:csb0="0000009F" w:csb1="00000000"/>
    <w:embedRegular r:id="rId3" w:fontKey="{8FE0DAE9-43B9-40BD-94B6-BBD14955E746}"/>
  </w:font>
  <w:font w:name="MS Mincho">
    <w:altName w:val="ＭＳ 明朝"/>
    <w:panose1 w:val="02020609040205080304"/>
    <w:charset w:val="80"/>
    <w:family w:val="modern"/>
    <w:pitch w:val="fixed"/>
    <w:sig w:usb0="A00002BF" w:usb1="68C7FCFB" w:usb2="00000010" w:usb3="00000000" w:csb0="0002009F" w:csb1="00000000"/>
  </w:font>
  <w:font w:name="Cambria">
    <w:panose1 w:val="02040503050406030204"/>
    <w:charset w:val="00"/>
    <w:family w:val="roman"/>
    <w:pitch w:val="variable"/>
    <w:sig w:usb0="A00002EF" w:usb1="4000004B" w:usb2="00000000" w:usb3="00000000" w:csb0="0000009F" w:csb1="00000000"/>
    <w:embedRegular r:id="rId4" w:fontKey="{10E71E00-A79F-4327-9417-1C1657132883}"/>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7407FA" w:rsidRPr="002610B3" w:rsidRDefault="002610B3" w:rsidP="002610B3">
    <w:pPr>
      <w:pStyle w:val="Footer"/>
      <w:tabs>
        <w:tab w:val="clear" w:pos="4680"/>
        <w:tab w:val="clear" w:pos="9360"/>
        <w:tab w:val="center" w:pos="2995"/>
      </w:tabs>
      <w:spacing w:before="120"/>
    </w:pPr>
    <w:r>
      <w:t>[103]</w:t>
    </w:r>
    <w:r>
      <w:tab/>
    </w:r>
    <w:fldSimple w:instr=" PAGE  \* MERGEFORMAT ">
      <w:r>
        <w:rPr>
          <w:noProof/>
        </w:rPr>
        <w:t>24</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A282D" w:rsidRDefault="00BA282D" w:rsidP="00522CE0">
      <w:r>
        <w:separator/>
      </w:r>
    </w:p>
  </w:footnote>
  <w:footnote w:type="continuationSeparator" w:id="0">
    <w:p w:rsidR="00BA282D" w:rsidRDefault="00BA282D" w:rsidP="00522CE0">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hdrShapeDefaults>
    <o:shapedefaults v:ext="edit" spidmax="94209"/>
  </w:hdrShapeDefaults>
  <w:footnotePr>
    <w:footnote w:id="-1"/>
    <w:footnote w:id="0"/>
  </w:footnotePr>
  <w:endnotePr>
    <w:endnote w:id="-1"/>
    <w:endnote w:id="0"/>
  </w:endnotePr>
  <w:compat/>
  <w:docVars>
    <w:docVar w:name="clipname" w:val="010TIFF.KMM.LKG"/>
    <w:docVar w:name="CoverAttorneyInitials" w:val="KMM"/>
    <w:docVar w:name="CoverAttorneyLastName" w:val="Moffitt"/>
    <w:docVar w:name="CoverBillType" w:val="b"/>
    <w:docVar w:name="CoverSenator" w:val="LKG"/>
    <w:docVar w:name="dvBillNumber" w:val="103"/>
    <w:docVar w:name="dvBillNumberPrefix" w:val="S. "/>
    <w:docVar w:name="dvOriginalBody" w:val="Senate"/>
    <w:docVar w:name="fulldraftpath" w:val="L:\S-RES\LKG\010TIFF.KMM.LKG.DOCX"/>
    <w:docVar w:name="NameofBody" w:val="S"/>
    <w:docVar w:name="vgroup2" w:val="S-RES"/>
  </w:docVars>
  <w:rsids>
    <w:rsidRoot w:val="00763D0A"/>
    <w:rsid w:val="00010F22"/>
    <w:rsid w:val="00042AC1"/>
    <w:rsid w:val="00046516"/>
    <w:rsid w:val="0007601D"/>
    <w:rsid w:val="000B0720"/>
    <w:rsid w:val="000B5EAF"/>
    <w:rsid w:val="000D1C54"/>
    <w:rsid w:val="00107A8A"/>
    <w:rsid w:val="00170561"/>
    <w:rsid w:val="00186AC9"/>
    <w:rsid w:val="00197DF1"/>
    <w:rsid w:val="001B3DD9"/>
    <w:rsid w:val="001B7E5D"/>
    <w:rsid w:val="001C0968"/>
    <w:rsid w:val="001D3BAC"/>
    <w:rsid w:val="00214B48"/>
    <w:rsid w:val="00245C4E"/>
    <w:rsid w:val="00246852"/>
    <w:rsid w:val="002610B3"/>
    <w:rsid w:val="0026167A"/>
    <w:rsid w:val="002C1321"/>
    <w:rsid w:val="002C5896"/>
    <w:rsid w:val="002D3BED"/>
    <w:rsid w:val="002F331F"/>
    <w:rsid w:val="00307C2B"/>
    <w:rsid w:val="00383247"/>
    <w:rsid w:val="003D6E2B"/>
    <w:rsid w:val="003E7597"/>
    <w:rsid w:val="00450668"/>
    <w:rsid w:val="00493CDD"/>
    <w:rsid w:val="004952FA"/>
    <w:rsid w:val="004B6A22"/>
    <w:rsid w:val="004D7F37"/>
    <w:rsid w:val="004E1FFA"/>
    <w:rsid w:val="004F2A0B"/>
    <w:rsid w:val="00522CE0"/>
    <w:rsid w:val="00565148"/>
    <w:rsid w:val="00590ADD"/>
    <w:rsid w:val="00593361"/>
    <w:rsid w:val="005A4B43"/>
    <w:rsid w:val="005A5017"/>
    <w:rsid w:val="005A648C"/>
    <w:rsid w:val="005E46F1"/>
    <w:rsid w:val="005F1745"/>
    <w:rsid w:val="006375E9"/>
    <w:rsid w:val="006B3F9B"/>
    <w:rsid w:val="006C74EA"/>
    <w:rsid w:val="00720D40"/>
    <w:rsid w:val="007318D4"/>
    <w:rsid w:val="007407FA"/>
    <w:rsid w:val="00762B4F"/>
    <w:rsid w:val="00763D0A"/>
    <w:rsid w:val="00765784"/>
    <w:rsid w:val="00765DCF"/>
    <w:rsid w:val="007A4390"/>
    <w:rsid w:val="007E5CB7"/>
    <w:rsid w:val="008314D2"/>
    <w:rsid w:val="008905EE"/>
    <w:rsid w:val="008A0214"/>
    <w:rsid w:val="008A5422"/>
    <w:rsid w:val="008B2F42"/>
    <w:rsid w:val="008E185F"/>
    <w:rsid w:val="008F023B"/>
    <w:rsid w:val="00904E16"/>
    <w:rsid w:val="009162B3"/>
    <w:rsid w:val="00927C62"/>
    <w:rsid w:val="00981EED"/>
    <w:rsid w:val="00983951"/>
    <w:rsid w:val="00984124"/>
    <w:rsid w:val="00984640"/>
    <w:rsid w:val="00995C37"/>
    <w:rsid w:val="009C118A"/>
    <w:rsid w:val="00A02011"/>
    <w:rsid w:val="00A4011E"/>
    <w:rsid w:val="00A86015"/>
    <w:rsid w:val="00A9594E"/>
    <w:rsid w:val="00AE59C8"/>
    <w:rsid w:val="00AF13B4"/>
    <w:rsid w:val="00B10098"/>
    <w:rsid w:val="00B5790D"/>
    <w:rsid w:val="00B945C5"/>
    <w:rsid w:val="00BA20EA"/>
    <w:rsid w:val="00BA282D"/>
    <w:rsid w:val="00BB5AFC"/>
    <w:rsid w:val="00BC0A56"/>
    <w:rsid w:val="00C45366"/>
    <w:rsid w:val="00C57023"/>
    <w:rsid w:val="00C74052"/>
    <w:rsid w:val="00CB187A"/>
    <w:rsid w:val="00CC0EC7"/>
    <w:rsid w:val="00CF2151"/>
    <w:rsid w:val="00D1088B"/>
    <w:rsid w:val="00D11A66"/>
    <w:rsid w:val="00D156D2"/>
    <w:rsid w:val="00D7668B"/>
    <w:rsid w:val="00D86943"/>
    <w:rsid w:val="00DA47B9"/>
    <w:rsid w:val="00E058D3"/>
    <w:rsid w:val="00E31757"/>
    <w:rsid w:val="00E61E9B"/>
    <w:rsid w:val="00E76AD9"/>
    <w:rsid w:val="00E91E2F"/>
    <w:rsid w:val="00EA3546"/>
    <w:rsid w:val="00EB47AE"/>
    <w:rsid w:val="00EC34E1"/>
    <w:rsid w:val="00EF6064"/>
    <w:rsid w:val="00F0234A"/>
    <w:rsid w:val="00F35482"/>
    <w:rsid w:val="00F37E6A"/>
    <w:rsid w:val="00F52959"/>
    <w:rsid w:val="00F55884"/>
    <w:rsid w:val="00F60F6F"/>
    <w:rsid w:val="00F63859"/>
    <w:rsid w:val="00F64CC5"/>
    <w:rsid w:val="00F65C1A"/>
    <w:rsid w:val="00FC0D36"/>
    <w:rsid w:val="00FE6467"/>
    <w:rsid w:val="00FF213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94209"/>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25</Pages>
  <Words>8256</Words>
  <Characters>47062</Characters>
  <Application>Microsoft Office Word</Application>
  <DocSecurity>0</DocSecurity>
  <Lines>392</Lines>
  <Paragraphs>110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55208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KenMoffitt</dc:creator>
  <cp:keywords/>
  <dc:description/>
  <cp:lastModifiedBy>NSC</cp:lastModifiedBy>
  <cp:revision>2</cp:revision>
  <dcterms:created xsi:type="dcterms:W3CDTF">2010-12-01T18:03:00Z</dcterms:created>
  <dcterms:modified xsi:type="dcterms:W3CDTF">2010-12-01T18:03:00Z</dcterms:modified>
</cp:coreProperties>
</file>