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48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AE7" w:rsidRPr="007E37BD" w:rsidRDefault="00026AE7" w:rsidP="00026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E37BD">
        <w:rPr>
          <w:color w:val="000000" w:themeColor="text1"/>
          <w:u w:color="000000" w:themeColor="text1"/>
        </w:rPr>
        <w:t xml:space="preserve">TO AMEND THE CODE OF LAWS OF SOUTH CAROLINA, 1976, BY ADDING SECTION </w:t>
      </w:r>
      <w:r>
        <w:rPr>
          <w:color w:val="000000" w:themeColor="text1"/>
          <w:u w:color="000000" w:themeColor="text1"/>
        </w:rPr>
        <w:t>1</w:t>
      </w:r>
      <w:r w:rsidR="000C0542">
        <w:rPr>
          <w:color w:val="000000" w:themeColor="text1"/>
          <w:u w:color="000000" w:themeColor="text1"/>
        </w:rPr>
        <w:noBreakHyphen/>
      </w:r>
      <w:r w:rsidRPr="007E37BD">
        <w:rPr>
          <w:color w:val="000000" w:themeColor="text1"/>
          <w:u w:color="000000" w:themeColor="text1"/>
        </w:rPr>
        <w:t>1</w:t>
      </w:r>
      <w:r w:rsidR="000C0542">
        <w:rPr>
          <w:color w:val="000000" w:themeColor="text1"/>
          <w:u w:color="000000" w:themeColor="text1"/>
        </w:rPr>
        <w:noBreakHyphen/>
      </w:r>
      <w:r w:rsidRPr="007E37BD">
        <w:rPr>
          <w:color w:val="000000" w:themeColor="text1"/>
          <w:u w:color="000000" w:themeColor="text1"/>
        </w:rPr>
        <w:t>1</w:t>
      </w:r>
      <w:r>
        <w:rPr>
          <w:color w:val="000000" w:themeColor="text1"/>
          <w:u w:color="000000" w:themeColor="text1"/>
        </w:rPr>
        <w:t>050</w:t>
      </w:r>
      <w:r w:rsidRPr="007E37BD">
        <w:rPr>
          <w:color w:val="000000" w:themeColor="text1"/>
          <w:u w:color="000000" w:themeColor="text1"/>
        </w:rPr>
        <w:t xml:space="preserve"> SO AS TO REQUIRE LOCAL GOVERNMENTAL ENTITIES, AGENCIES, ORGANIZATIONS, OR INDIVIDUALS THAT RECEIVE, COLLECT, OR SPEND PUBLIC FUNDS DERIVED FROM STATE OR LOCAL TAX REVENUE TO FILE PERIODIC EXPENDITURE REPORTS WITH THE STATE OR LOCAL GOVERNMENTAL ENTITY OR AGENCY THAT PROVIDED, COLLECTED</w:t>
      </w:r>
      <w:r>
        <w:rPr>
          <w:color w:val="000000" w:themeColor="text1"/>
          <w:u w:color="000000" w:themeColor="text1"/>
        </w:rPr>
        <w:t>,</w:t>
      </w:r>
      <w:r w:rsidRPr="007E37BD">
        <w:rPr>
          <w:color w:val="000000" w:themeColor="text1"/>
          <w:u w:color="000000" w:themeColor="text1"/>
        </w:rPr>
        <w:t xml:space="preserve"> OR SPENT THE PUBLIC FUNDS.</w:t>
      </w:r>
    </w:p>
    <w:p w:rsidR="009D48A3" w:rsidRDefault="009D4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48A3" w:rsidRDefault="009D4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48A3" w:rsidRDefault="009D4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SECTION</w:t>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r>
      <w:r w:rsidRPr="00ED4EA6">
        <w:rPr>
          <w:color w:val="000000" w:themeColor="text1"/>
          <w:sz w:val="22"/>
          <w:u w:color="000000" w:themeColor="text1"/>
        </w:rPr>
        <w:t xml:space="preserve">Article 15, Chapter 1, Title 1 of the 1976 Code is amended by adding: </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“Section 1</w:t>
      </w:r>
      <w:r w:rsidR="000C0542">
        <w:rPr>
          <w:color w:val="000000" w:themeColor="text1"/>
          <w:sz w:val="22"/>
          <w:u w:color="000000" w:themeColor="text1"/>
        </w:rPr>
        <w:noBreakHyphen/>
      </w:r>
      <w:r w:rsidRPr="00ED4EA6">
        <w:rPr>
          <w:color w:val="000000" w:themeColor="text1"/>
          <w:sz w:val="22"/>
          <w:u w:color="000000" w:themeColor="text1"/>
        </w:rPr>
        <w:t>1</w:t>
      </w:r>
      <w:r w:rsidR="000C0542">
        <w:rPr>
          <w:color w:val="000000" w:themeColor="text1"/>
          <w:sz w:val="22"/>
          <w:u w:color="000000" w:themeColor="text1"/>
        </w:rPr>
        <w:noBreakHyphen/>
      </w:r>
      <w:r>
        <w:rPr>
          <w:color w:val="000000" w:themeColor="text1"/>
          <w:sz w:val="22"/>
          <w:u w:color="000000" w:themeColor="text1"/>
        </w:rPr>
        <w:t>1050.</w:t>
      </w:r>
      <w:r>
        <w:rPr>
          <w:color w:val="000000" w:themeColor="text1"/>
          <w:sz w:val="22"/>
          <w:u w:color="000000" w:themeColor="text1"/>
        </w:rPr>
        <w:tab/>
      </w:r>
      <w:r w:rsidRPr="00797BAD">
        <w:rPr>
          <w:color w:val="000000" w:themeColor="text1"/>
          <w:sz w:val="22"/>
          <w:u w:color="000000" w:themeColor="text1"/>
        </w:rPr>
        <w:t>(A)</w:t>
      </w:r>
      <w:r>
        <w:rPr>
          <w:color w:val="000000" w:themeColor="text1"/>
          <w:sz w:val="22"/>
          <w:u w:color="000000" w:themeColor="text1"/>
        </w:rPr>
        <w:tab/>
      </w:r>
      <w:r w:rsidRPr="00797BAD">
        <w:rPr>
          <w:color w:val="000000" w:themeColor="text1"/>
          <w:sz w:val="22"/>
          <w:u w:color="000000" w:themeColor="text1"/>
        </w:rPr>
        <w:t>By no later than July 1, 2012, a nongovernmental entity, agency, or organization, whether for or not</w:t>
      </w:r>
      <w:r w:rsidR="000C0542">
        <w:rPr>
          <w:color w:val="000000" w:themeColor="text1"/>
          <w:sz w:val="22"/>
          <w:u w:color="000000" w:themeColor="text1"/>
        </w:rPr>
        <w:noBreakHyphen/>
      </w:r>
      <w:r w:rsidRPr="00797BAD">
        <w:rPr>
          <w:color w:val="000000" w:themeColor="text1"/>
          <w:sz w:val="22"/>
          <w:u w:color="000000" w:themeColor="text1"/>
        </w:rPr>
        <w:t>for</w:t>
      </w:r>
      <w:r w:rsidR="000C0542">
        <w:rPr>
          <w:color w:val="000000" w:themeColor="text1"/>
          <w:sz w:val="22"/>
          <w:u w:color="000000" w:themeColor="text1"/>
        </w:rPr>
        <w:noBreakHyphen/>
      </w:r>
      <w:r w:rsidRPr="00797BAD">
        <w:rPr>
          <w:color w:val="000000" w:themeColor="text1"/>
          <w:sz w:val="22"/>
          <w:u w:color="000000" w:themeColor="text1"/>
        </w:rPr>
        <w:t xml:space="preserve">profit, </w:t>
      </w:r>
      <w:r w:rsidR="008344FD">
        <w:rPr>
          <w:color w:val="000000" w:themeColor="text1"/>
          <w:sz w:val="22"/>
          <w:u w:color="000000" w:themeColor="text1"/>
        </w:rPr>
        <w:t>which</w:t>
      </w:r>
      <w:r w:rsidRPr="00797BAD">
        <w:rPr>
          <w:color w:val="000000" w:themeColor="text1"/>
          <w:sz w:val="22"/>
          <w:u w:color="000000" w:themeColor="text1"/>
        </w:rPr>
        <w:t xml:space="preserve"> received more than one hundred dollars in county or municipal grants in the previous calendar year, must begin </w:t>
      </w:r>
      <w:r>
        <w:rPr>
          <w:color w:val="000000" w:themeColor="text1"/>
          <w:sz w:val="22"/>
          <w:u w:color="000000" w:themeColor="text1"/>
        </w:rPr>
        <w:t>annual</w:t>
      </w:r>
      <w:r w:rsidRPr="00797BAD">
        <w:rPr>
          <w:color w:val="000000" w:themeColor="text1"/>
          <w:sz w:val="22"/>
          <w:u w:color="000000" w:themeColor="text1"/>
        </w:rPr>
        <w:t xml:space="preserve"> submissions of an expenditure report to the jurisdiction awarding the funds.  For purposes of this section, </w:t>
      </w:r>
      <w:r w:rsidR="000C0542" w:rsidRPr="000C0542">
        <w:rPr>
          <w:color w:val="000000" w:themeColor="text1"/>
          <w:sz w:val="22"/>
          <w:u w:color="000000" w:themeColor="text1"/>
        </w:rPr>
        <w:t>‘</w:t>
      </w:r>
      <w:r w:rsidRPr="00797BAD">
        <w:rPr>
          <w:color w:val="000000" w:themeColor="text1"/>
          <w:sz w:val="22"/>
          <w:u w:color="000000" w:themeColor="text1"/>
        </w:rPr>
        <w:t>grants</w:t>
      </w:r>
      <w:r w:rsidR="000C0542" w:rsidRPr="000C0542">
        <w:rPr>
          <w:color w:val="000000" w:themeColor="text1"/>
          <w:sz w:val="22"/>
          <w:u w:color="000000" w:themeColor="text1"/>
        </w:rPr>
        <w:t>’</w:t>
      </w:r>
      <w:r w:rsidRPr="00797BAD">
        <w:rPr>
          <w:color w:val="000000" w:themeColor="text1"/>
          <w:sz w:val="22"/>
          <w:u w:color="000000" w:themeColor="text1"/>
        </w:rPr>
        <w:t xml:space="preserve"> are those monies derived either from county or municipal tax revenue or appropriated to the jurisdiction by the General Assembly </w:t>
      </w:r>
      <w:r w:rsidR="008344FD">
        <w:rPr>
          <w:color w:val="000000" w:themeColor="text1"/>
          <w:sz w:val="22"/>
          <w:u w:color="000000" w:themeColor="text1"/>
        </w:rPr>
        <w:t>which</w:t>
      </w:r>
      <w:r w:rsidRPr="00797BAD">
        <w:rPr>
          <w:color w:val="000000" w:themeColor="text1"/>
          <w:sz w:val="22"/>
          <w:u w:color="000000" w:themeColor="text1"/>
        </w:rPr>
        <w:t xml:space="preserve"> are awarded, gifted, designated, or contributed by a jurisdiction to an entity, agency, or organization, whether by formula or at the jurisdiction</w:t>
      </w:r>
      <w:r w:rsidR="000C0542" w:rsidRPr="000C0542">
        <w:rPr>
          <w:color w:val="000000" w:themeColor="text1"/>
          <w:sz w:val="22"/>
          <w:u w:color="000000" w:themeColor="text1"/>
        </w:rPr>
        <w:t>’</w:t>
      </w:r>
      <w:r w:rsidRPr="00797BAD">
        <w:rPr>
          <w:color w:val="000000" w:themeColor="text1"/>
          <w:sz w:val="22"/>
          <w:u w:color="000000" w:themeColor="text1"/>
        </w:rPr>
        <w:t>s discretion for any purpose, including revenues distributed pu</w:t>
      </w:r>
      <w:r>
        <w:rPr>
          <w:color w:val="000000" w:themeColor="text1"/>
          <w:sz w:val="22"/>
          <w:u w:color="000000" w:themeColor="text1"/>
        </w:rPr>
        <w:t>rsuant to Section 4</w:t>
      </w:r>
      <w:r w:rsidR="000C0542">
        <w:rPr>
          <w:color w:val="000000" w:themeColor="text1"/>
          <w:sz w:val="22"/>
          <w:u w:color="000000" w:themeColor="text1"/>
        </w:rPr>
        <w:noBreakHyphen/>
      </w:r>
      <w:r>
        <w:rPr>
          <w:color w:val="000000" w:themeColor="text1"/>
          <w:sz w:val="22"/>
          <w:u w:color="000000" w:themeColor="text1"/>
        </w:rPr>
        <w:t>10</w:t>
      </w:r>
      <w:r w:rsidR="000C0542">
        <w:rPr>
          <w:color w:val="000000" w:themeColor="text1"/>
          <w:sz w:val="22"/>
          <w:u w:color="000000" w:themeColor="text1"/>
        </w:rPr>
        <w:noBreakHyphen/>
      </w:r>
      <w:r>
        <w:rPr>
          <w:color w:val="000000" w:themeColor="text1"/>
          <w:sz w:val="22"/>
          <w:u w:color="000000" w:themeColor="text1"/>
        </w:rPr>
        <w:t xml:space="preserve">970(B).  </w:t>
      </w:r>
      <w:r w:rsidR="000C0542" w:rsidRPr="000C0542">
        <w:rPr>
          <w:color w:val="000000" w:themeColor="text1"/>
          <w:sz w:val="22"/>
          <w:u w:color="000000" w:themeColor="text1"/>
        </w:rPr>
        <w:t>‘</w:t>
      </w:r>
      <w:r w:rsidRPr="00797BAD">
        <w:rPr>
          <w:color w:val="000000" w:themeColor="text1"/>
          <w:sz w:val="22"/>
          <w:u w:color="000000" w:themeColor="text1"/>
        </w:rPr>
        <w:t>Grants</w:t>
      </w:r>
      <w:r w:rsidR="000C0542" w:rsidRPr="000C0542">
        <w:rPr>
          <w:color w:val="000000" w:themeColor="text1"/>
          <w:sz w:val="22"/>
          <w:u w:color="000000" w:themeColor="text1"/>
        </w:rPr>
        <w:t>’</w:t>
      </w:r>
      <w:r w:rsidRPr="00797BAD">
        <w:rPr>
          <w:color w:val="000000" w:themeColor="text1"/>
          <w:sz w:val="22"/>
          <w:u w:color="000000" w:themeColor="text1"/>
        </w:rPr>
        <w:t xml:space="preserve"> do not include payments for direct services or goods.</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(B)</w:t>
      </w:r>
      <w:r>
        <w:rPr>
          <w:color w:val="000000" w:themeColor="text1"/>
          <w:sz w:val="22"/>
          <w:u w:color="000000" w:themeColor="text1"/>
        </w:rPr>
        <w:tab/>
      </w:r>
      <w:r w:rsidRPr="00ED4EA6">
        <w:rPr>
          <w:color w:val="000000" w:themeColor="text1"/>
          <w:sz w:val="22"/>
          <w:u w:color="000000" w:themeColor="text1"/>
        </w:rPr>
        <w:t>The expenditure report must include:</w:t>
      </w:r>
      <w:r w:rsidRPr="00ED4EA6">
        <w:rPr>
          <w:color w:val="000000" w:themeColor="text1"/>
          <w:sz w:val="22"/>
          <w:u w:color="000000" w:themeColor="text1"/>
        </w:rPr>
        <w:tab/>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(1)</w:t>
      </w:r>
      <w:r>
        <w:rPr>
          <w:color w:val="000000" w:themeColor="text1"/>
          <w:sz w:val="22"/>
          <w:u w:color="000000" w:themeColor="text1"/>
        </w:rPr>
        <w:tab/>
        <w:t>t</w:t>
      </w:r>
      <w:r w:rsidRPr="00ED4EA6">
        <w:rPr>
          <w:color w:val="000000" w:themeColor="text1"/>
          <w:sz w:val="22"/>
          <w:u w:color="000000" w:themeColor="text1"/>
        </w:rPr>
        <w:t>he amount of funds received</w:t>
      </w:r>
      <w:r w:rsidR="008344FD">
        <w:rPr>
          <w:color w:val="000000" w:themeColor="text1"/>
          <w:sz w:val="22"/>
          <w:u w:color="000000" w:themeColor="text1"/>
        </w:rPr>
        <w:t xml:space="preserve"> and the date;</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ED4EA6">
        <w:rPr>
          <w:color w:val="000000" w:themeColor="text1"/>
          <w:sz w:val="22"/>
          <w:u w:color="000000" w:themeColor="text1"/>
        </w:rPr>
        <w:t>(2)</w:t>
      </w:r>
      <w:r>
        <w:rPr>
          <w:color w:val="000000" w:themeColor="text1"/>
          <w:sz w:val="22"/>
          <w:u w:color="000000" w:themeColor="text1"/>
        </w:rPr>
        <w:tab/>
        <w:t>t</w:t>
      </w:r>
      <w:r w:rsidR="008344FD">
        <w:rPr>
          <w:color w:val="000000" w:themeColor="text1"/>
          <w:sz w:val="22"/>
          <w:u w:color="000000" w:themeColor="text1"/>
        </w:rPr>
        <w:t>he amount of funds expended and the date;</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lastRenderedPageBreak/>
        <w:tab/>
      </w:r>
      <w:r>
        <w:rPr>
          <w:color w:val="000000" w:themeColor="text1"/>
          <w:sz w:val="22"/>
          <w:u w:color="000000" w:themeColor="text1"/>
        </w:rPr>
        <w:tab/>
      </w:r>
      <w:r w:rsidRPr="00ED4EA6">
        <w:rPr>
          <w:color w:val="000000" w:themeColor="text1"/>
          <w:sz w:val="22"/>
          <w:u w:color="000000" w:themeColor="text1"/>
        </w:rPr>
        <w:t>(3)</w:t>
      </w:r>
      <w:r>
        <w:rPr>
          <w:color w:val="000000" w:themeColor="text1"/>
          <w:sz w:val="22"/>
          <w:u w:color="000000" w:themeColor="text1"/>
        </w:rPr>
        <w:tab/>
        <w:t>t</w:t>
      </w:r>
      <w:r w:rsidRPr="00ED4EA6">
        <w:rPr>
          <w:color w:val="000000" w:themeColor="text1"/>
          <w:sz w:val="22"/>
          <w:u w:color="000000" w:themeColor="text1"/>
        </w:rPr>
        <w:t>he purposes for which the funds w</w:t>
      </w:r>
      <w:r w:rsidR="008344FD">
        <w:rPr>
          <w:color w:val="000000" w:themeColor="text1"/>
          <w:sz w:val="22"/>
          <w:u w:color="000000" w:themeColor="text1"/>
        </w:rPr>
        <w:t xml:space="preserve">ere expended; </w:t>
      </w:r>
      <w:r>
        <w:rPr>
          <w:color w:val="000000" w:themeColor="text1"/>
          <w:sz w:val="22"/>
          <w:u w:color="000000" w:themeColor="text1"/>
        </w:rPr>
        <w:t xml:space="preserve"> and</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t>(4</w:t>
      </w:r>
      <w:r w:rsidRPr="00ED4EA6">
        <w:rPr>
          <w:color w:val="000000" w:themeColor="text1"/>
          <w:sz w:val="22"/>
          <w:u w:color="000000" w:themeColor="text1"/>
        </w:rPr>
        <w:t>)</w:t>
      </w:r>
      <w:r>
        <w:rPr>
          <w:color w:val="000000" w:themeColor="text1"/>
          <w:sz w:val="22"/>
          <w:u w:color="000000" w:themeColor="text1"/>
        </w:rPr>
        <w:tab/>
      </w:r>
      <w:r w:rsidRPr="00ED4EA6">
        <w:rPr>
          <w:color w:val="000000" w:themeColor="text1"/>
          <w:sz w:val="22"/>
          <w:u w:color="000000" w:themeColor="text1"/>
        </w:rPr>
        <w:t>other information required by the jurisdiction so as to promote transparency and public confidence in how the grantee entities, agencies, and organizations expend the funds.</w:t>
      </w:r>
    </w:p>
    <w:p w:rsidR="00026AE7"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(C)</w:t>
      </w:r>
      <w:r w:rsidRPr="00ED4EA6">
        <w:rPr>
          <w:color w:val="000000" w:themeColor="text1"/>
          <w:sz w:val="22"/>
          <w:u w:color="000000" w:themeColor="text1"/>
        </w:rPr>
        <w:tab/>
      </w:r>
      <w:r>
        <w:rPr>
          <w:color w:val="000000" w:themeColor="text1"/>
          <w:sz w:val="22"/>
          <w:u w:color="000000" w:themeColor="text1"/>
        </w:rPr>
        <w:t>Unless all or portions of the report may be redacted or exempted pursuant to subsection (D), a</w:t>
      </w:r>
      <w:r w:rsidRPr="00ED4EA6">
        <w:rPr>
          <w:color w:val="000000" w:themeColor="text1"/>
          <w:sz w:val="22"/>
          <w:u w:color="000000" w:themeColor="text1"/>
        </w:rPr>
        <w:t xml:space="preserve"> county and municipality receiving expenditure reports required by this section shall </w:t>
      </w:r>
      <w:r>
        <w:rPr>
          <w:color w:val="000000" w:themeColor="text1"/>
          <w:sz w:val="22"/>
          <w:u w:color="000000" w:themeColor="text1"/>
        </w:rPr>
        <w:t xml:space="preserve">prominently </w:t>
      </w:r>
      <w:r w:rsidRPr="00ED4EA6">
        <w:rPr>
          <w:color w:val="000000" w:themeColor="text1"/>
          <w:sz w:val="22"/>
          <w:u w:color="000000" w:themeColor="text1"/>
        </w:rPr>
        <w:t>display the reports on the jurisdiction</w:t>
      </w:r>
      <w:r w:rsidR="000C0542" w:rsidRPr="000C0542">
        <w:rPr>
          <w:color w:val="000000" w:themeColor="text1"/>
          <w:sz w:val="22"/>
          <w:u w:color="000000" w:themeColor="text1"/>
        </w:rPr>
        <w:t>’</w:t>
      </w:r>
      <w:r w:rsidRPr="00ED4EA6">
        <w:rPr>
          <w:color w:val="000000" w:themeColor="text1"/>
          <w:sz w:val="22"/>
          <w:u w:color="000000" w:themeColor="text1"/>
        </w:rPr>
        <w:t xml:space="preserve">s Internet website. </w:t>
      </w:r>
      <w:r w:rsidR="008344FD">
        <w:rPr>
          <w:color w:val="000000" w:themeColor="text1"/>
          <w:sz w:val="22"/>
          <w:u w:color="000000" w:themeColor="text1"/>
        </w:rPr>
        <w:t xml:space="preserve"> </w:t>
      </w:r>
      <w:r>
        <w:rPr>
          <w:color w:val="000000" w:themeColor="text1"/>
          <w:sz w:val="22"/>
          <w:u w:color="000000" w:themeColor="text1"/>
        </w:rPr>
        <w:t xml:space="preserve">The reports must be downloadable and maintained for three years. </w:t>
      </w:r>
      <w:r w:rsidRPr="00ED4EA6">
        <w:rPr>
          <w:color w:val="000000" w:themeColor="text1"/>
          <w:sz w:val="22"/>
          <w:u w:color="000000" w:themeColor="text1"/>
        </w:rPr>
        <w:t xml:space="preserve"> If a jurisdiction does not maintain an Internet website, the register must be maintained on the Internet website of the Comptroller General.</w:t>
      </w:r>
      <w:r>
        <w:rPr>
          <w:color w:val="000000" w:themeColor="text1"/>
          <w:sz w:val="22"/>
          <w:u w:color="000000" w:themeColor="text1"/>
        </w:rPr>
        <w:t xml:space="preserve">  Also, a jurisdiction shall display the name and amount of funds awarded to an entity, agency, or organization that has failed to timely submit an expenditure report. </w:t>
      </w:r>
    </w:p>
    <w:p w:rsidR="00026AE7"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ED4EA6">
        <w:rPr>
          <w:color w:val="000000" w:themeColor="text1"/>
          <w:sz w:val="22"/>
          <w:u w:color="000000" w:themeColor="text1"/>
        </w:rPr>
        <w:t>(</w:t>
      </w:r>
      <w:r>
        <w:rPr>
          <w:color w:val="000000" w:themeColor="text1"/>
          <w:sz w:val="22"/>
          <w:u w:color="000000" w:themeColor="text1"/>
        </w:rPr>
        <w:t>D</w:t>
      </w:r>
      <w:r w:rsidRPr="00ED4EA6">
        <w:rPr>
          <w:color w:val="000000" w:themeColor="text1"/>
          <w:sz w:val="22"/>
          <w:u w:color="000000" w:themeColor="text1"/>
        </w:rPr>
        <w:t>)</w:t>
      </w:r>
      <w:r>
        <w:rPr>
          <w:color w:val="000000" w:themeColor="text1"/>
          <w:sz w:val="22"/>
          <w:u w:color="000000" w:themeColor="text1"/>
        </w:rPr>
        <w:tab/>
      </w:r>
      <w:r w:rsidRPr="00ED4EA6">
        <w:rPr>
          <w:color w:val="000000" w:themeColor="text1"/>
          <w:sz w:val="22"/>
          <w:u w:color="000000" w:themeColor="text1"/>
        </w:rPr>
        <w:t xml:space="preserve">Any information that is expressly prohibited from public disclosure by federal or state law or regulation must be redacted from any posting required by this section.  A county or municipality also </w:t>
      </w:r>
      <w:r w:rsidR="00753A45">
        <w:rPr>
          <w:color w:val="000000" w:themeColor="text1"/>
          <w:sz w:val="22"/>
          <w:u w:color="000000" w:themeColor="text1"/>
        </w:rPr>
        <w:t xml:space="preserve">may </w:t>
      </w:r>
      <w:r w:rsidRPr="00ED4EA6">
        <w:rPr>
          <w:color w:val="000000" w:themeColor="text1"/>
          <w:sz w:val="22"/>
          <w:u w:color="000000" w:themeColor="text1"/>
        </w:rPr>
        <w:t>exempt</w:t>
      </w:r>
      <w:r>
        <w:rPr>
          <w:color w:val="000000" w:themeColor="text1"/>
          <w:sz w:val="22"/>
          <w:u w:color="000000" w:themeColor="text1"/>
        </w:rPr>
        <w:t xml:space="preserve"> disclosure of</w:t>
      </w:r>
      <w:r w:rsidRPr="00ED4EA6">
        <w:rPr>
          <w:color w:val="000000" w:themeColor="text1"/>
          <w:sz w:val="22"/>
          <w:u w:color="000000" w:themeColor="text1"/>
        </w:rPr>
        <w:t xml:space="preserve"> an expenditure or reimbursement that the jurisdiction determines is reasonable and necessary to exclude.  If a jurisdiction excludes an expenditure or reimbursement, the jurisdiction must state </w:t>
      </w:r>
      <w:r w:rsidR="00075DAF" w:rsidRPr="00ED4EA6">
        <w:rPr>
          <w:color w:val="000000" w:themeColor="text1"/>
          <w:sz w:val="22"/>
          <w:u w:color="000000" w:themeColor="text1"/>
        </w:rPr>
        <w:t>in general terms</w:t>
      </w:r>
      <w:r w:rsidR="00075DAF">
        <w:rPr>
          <w:color w:val="000000" w:themeColor="text1"/>
          <w:sz w:val="22"/>
          <w:u w:color="000000" w:themeColor="text1"/>
        </w:rPr>
        <w:t xml:space="preserve"> </w:t>
      </w:r>
      <w:r w:rsidRPr="00ED4EA6">
        <w:rPr>
          <w:color w:val="000000" w:themeColor="text1"/>
          <w:sz w:val="22"/>
          <w:u w:color="000000" w:themeColor="text1"/>
        </w:rPr>
        <w:t xml:space="preserve">the reasons for the exclusion.  The statement </w:t>
      </w:r>
      <w:r w:rsidR="00075DAF">
        <w:rPr>
          <w:color w:val="000000" w:themeColor="text1"/>
          <w:sz w:val="22"/>
          <w:u w:color="000000" w:themeColor="text1"/>
        </w:rPr>
        <w:t>must</w:t>
      </w:r>
      <w:r w:rsidRPr="00ED4EA6">
        <w:rPr>
          <w:color w:val="000000" w:themeColor="text1"/>
          <w:sz w:val="22"/>
          <w:u w:color="000000" w:themeColor="text1"/>
        </w:rPr>
        <w:t xml:space="preserve"> be displayed in the same manner and location as the </w:t>
      </w:r>
      <w:r>
        <w:rPr>
          <w:color w:val="000000" w:themeColor="text1"/>
          <w:sz w:val="22"/>
          <w:u w:color="000000" w:themeColor="text1"/>
        </w:rPr>
        <w:t>expenditure report</w:t>
      </w:r>
      <w:r w:rsidRPr="00ED4EA6">
        <w:rPr>
          <w:color w:val="000000" w:themeColor="text1"/>
          <w:sz w:val="22"/>
          <w:u w:color="000000" w:themeColor="text1"/>
        </w:rPr>
        <w:t>.</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t>(E)</w:t>
      </w:r>
      <w:r>
        <w:rPr>
          <w:color w:val="000000" w:themeColor="text1"/>
          <w:sz w:val="22"/>
          <w:u w:color="000000" w:themeColor="text1"/>
        </w:rPr>
        <w:tab/>
        <w:t xml:space="preserve">To avoid additional expense for </w:t>
      </w:r>
      <w:r w:rsidRPr="00ED4EA6">
        <w:rPr>
          <w:color w:val="000000" w:themeColor="text1"/>
          <w:sz w:val="22"/>
          <w:u w:color="000000" w:themeColor="text1"/>
        </w:rPr>
        <w:t>c</w:t>
      </w:r>
      <w:r>
        <w:rPr>
          <w:color w:val="000000" w:themeColor="text1"/>
          <w:sz w:val="22"/>
          <w:u w:color="000000" w:themeColor="text1"/>
        </w:rPr>
        <w:t>ounty and municipal governments in the implementation o</w:t>
      </w:r>
      <w:r w:rsidRPr="00ED4EA6">
        <w:rPr>
          <w:color w:val="000000" w:themeColor="text1"/>
          <w:sz w:val="22"/>
          <w:u w:color="000000" w:themeColor="text1"/>
        </w:rPr>
        <w:t>f</w:t>
      </w:r>
      <w:r>
        <w:rPr>
          <w:color w:val="000000" w:themeColor="text1"/>
          <w:sz w:val="22"/>
          <w:u w:color="000000" w:themeColor="text1"/>
        </w:rPr>
        <w:t xml:space="preserve"> this s</w:t>
      </w:r>
      <w:r w:rsidRPr="00ED4EA6">
        <w:rPr>
          <w:color w:val="000000" w:themeColor="text1"/>
          <w:sz w:val="22"/>
          <w:u w:color="000000" w:themeColor="text1"/>
        </w:rPr>
        <w:t>ection</w:t>
      </w:r>
      <w:r>
        <w:rPr>
          <w:color w:val="000000" w:themeColor="text1"/>
          <w:sz w:val="22"/>
          <w:u w:color="000000" w:themeColor="text1"/>
        </w:rPr>
        <w:t xml:space="preserve">, the expenditure reporting </w:t>
      </w:r>
      <w:r w:rsidRPr="00ED4EA6">
        <w:rPr>
          <w:color w:val="000000" w:themeColor="text1"/>
          <w:sz w:val="22"/>
          <w:u w:color="000000" w:themeColor="text1"/>
        </w:rPr>
        <w:t xml:space="preserve">must be effected </w:t>
      </w:r>
      <w:r>
        <w:rPr>
          <w:color w:val="000000" w:themeColor="text1"/>
          <w:sz w:val="22"/>
          <w:u w:color="000000" w:themeColor="text1"/>
        </w:rPr>
        <w:t>using</w:t>
      </w:r>
      <w:r w:rsidRPr="00ED4EA6">
        <w:rPr>
          <w:color w:val="000000" w:themeColor="text1"/>
          <w:sz w:val="22"/>
          <w:u w:color="000000" w:themeColor="text1"/>
        </w:rPr>
        <w:t xml:space="preserve"> existing resources </w:t>
      </w:r>
      <w:r>
        <w:rPr>
          <w:color w:val="000000" w:themeColor="text1"/>
          <w:sz w:val="22"/>
          <w:u w:color="000000" w:themeColor="text1"/>
        </w:rPr>
        <w:t>with no additional expense to</w:t>
      </w:r>
      <w:r w:rsidRPr="00ED4EA6">
        <w:rPr>
          <w:color w:val="000000" w:themeColor="text1"/>
          <w:sz w:val="22"/>
          <w:u w:color="000000" w:themeColor="text1"/>
        </w:rPr>
        <w:t xml:space="preserve"> the</w:t>
      </w:r>
      <w:r>
        <w:rPr>
          <w:color w:val="000000" w:themeColor="text1"/>
          <w:sz w:val="22"/>
          <w:u w:color="000000" w:themeColor="text1"/>
        </w:rPr>
        <w:t xml:space="preserve"> jurisdiction</w:t>
      </w:r>
      <w:r w:rsidRPr="00ED4EA6">
        <w:rPr>
          <w:color w:val="000000" w:themeColor="text1"/>
          <w:sz w:val="22"/>
          <w:u w:color="000000" w:themeColor="text1"/>
        </w:rPr>
        <w:t>.  The Office of the Comptroller General must be available to county and municipal governments</w:t>
      </w:r>
      <w:r>
        <w:rPr>
          <w:color w:val="000000" w:themeColor="text1"/>
          <w:sz w:val="22"/>
          <w:u w:color="000000" w:themeColor="text1"/>
        </w:rPr>
        <w:t>, upon their formal request,</w:t>
      </w:r>
      <w:r w:rsidRPr="00ED4EA6">
        <w:rPr>
          <w:color w:val="000000" w:themeColor="text1"/>
          <w:sz w:val="22"/>
          <w:u w:color="000000" w:themeColor="text1"/>
        </w:rPr>
        <w:t xml:space="preserve"> </w:t>
      </w:r>
      <w:r>
        <w:rPr>
          <w:color w:val="000000" w:themeColor="text1"/>
          <w:sz w:val="22"/>
          <w:u w:color="000000" w:themeColor="text1"/>
        </w:rPr>
        <w:t>to provide technical assistance</w:t>
      </w:r>
      <w:r w:rsidRPr="00ED4EA6">
        <w:rPr>
          <w:color w:val="000000" w:themeColor="text1"/>
          <w:sz w:val="22"/>
          <w:u w:color="000000" w:themeColor="text1"/>
        </w:rPr>
        <w:t xml:space="preserve"> in meeting the requirements of this </w:t>
      </w:r>
      <w:r>
        <w:rPr>
          <w:color w:val="000000" w:themeColor="text1"/>
          <w:sz w:val="22"/>
          <w:u w:color="000000" w:themeColor="text1"/>
        </w:rPr>
        <w:t>section</w:t>
      </w:r>
      <w:r w:rsidRPr="00ED4EA6">
        <w:rPr>
          <w:color w:val="000000" w:themeColor="text1"/>
          <w:sz w:val="22"/>
          <w:u w:color="000000" w:themeColor="text1"/>
        </w:rPr>
        <w:t xml:space="preserve">.  The Office of the Comptroller General shall not intercede on behalf of jurisdictions unless </w:t>
      </w:r>
      <w:r>
        <w:rPr>
          <w:color w:val="000000" w:themeColor="text1"/>
          <w:sz w:val="22"/>
          <w:u w:color="000000" w:themeColor="text1"/>
        </w:rPr>
        <w:t>a formal request is made.</w:t>
      </w:r>
      <w:r w:rsidRPr="00ED4EA6">
        <w:rPr>
          <w:color w:val="000000" w:themeColor="text1"/>
          <w:sz w:val="22"/>
          <w:u w:color="000000" w:themeColor="text1"/>
        </w:rPr>
        <w:t>”</w:t>
      </w:r>
    </w:p>
    <w:p w:rsidR="00026AE7" w:rsidRPr="00ED4EA6" w:rsidRDefault="00026AE7" w:rsidP="00026A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26AE7" w:rsidRPr="007E37BD" w:rsidRDefault="00026AE7" w:rsidP="00026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Pr="00ED4EA6">
        <w:t>.</w:t>
      </w:r>
      <w:r>
        <w:tab/>
        <w:t xml:space="preserve">This act takes effect upon approval by the Governor. </w:t>
      </w:r>
    </w:p>
    <w:p w:rsidR="00650735" w:rsidRDefault="000C05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0735" w:rsidRDefault="00650735" w:rsidP="00650735">
      <w:pPr>
        <w:suppressAutoHyphens/>
      </w:pPr>
    </w:p>
    <w:sectPr w:rsidR="00650735" w:rsidSect="006507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4FD" w:rsidRDefault="008344FD" w:rsidP="009F0C77">
      <w:r>
        <w:separator/>
      </w:r>
    </w:p>
  </w:endnote>
  <w:endnote w:type="continuationSeparator" w:id="0">
    <w:p w:rsidR="008344FD" w:rsidRDefault="008344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9AF424-058E-4412-8200-3D5E3FBD1E2E}"/>
    <w:embedBold r:id="rId2" w:fontKey="{DD55EDD0-1199-4530-9E24-28F56DC1FE11}"/>
  </w:font>
  <w:font w:name="Calibri">
    <w:panose1 w:val="020F0502020204030204"/>
    <w:charset w:val="00"/>
    <w:family w:val="swiss"/>
    <w:pitch w:val="variable"/>
    <w:sig w:usb0="A00002EF" w:usb1="4000207B" w:usb2="00000000" w:usb3="00000000" w:csb0="0000009F" w:csb1="00000000"/>
    <w:embedRegular r:id="rId3" w:fontKey="{B62F504A-8636-4ABC-8128-6A4153B91CC8}"/>
  </w:font>
  <w:font w:name="Tahoma">
    <w:panose1 w:val="020B0604030504040204"/>
    <w:charset w:val="00"/>
    <w:family w:val="swiss"/>
    <w:pitch w:val="variable"/>
    <w:sig w:usb0="61002A87" w:usb1="80000000" w:usb2="00000008" w:usb3="00000000" w:csb0="000101FF" w:csb1="00000000"/>
    <w:embedRegular r:id="rId4" w:fontKey="{45AB7E2F-A9A7-4EC8-A27A-49D1DA7DFC6E}"/>
  </w:font>
  <w:font w:name="Cambria">
    <w:panose1 w:val="02040503050406030204"/>
    <w:charset w:val="00"/>
    <w:family w:val="roman"/>
    <w:pitch w:val="variable"/>
    <w:sig w:usb0="A00002EF" w:usb1="4000004B" w:usb2="00000000" w:usb3="00000000" w:csb0="0000009F" w:csb1="00000000"/>
    <w:embedRegular r:id="rId5" w:fontKey="{BB5CCCA0-1B35-4624-86CA-3E47E2CBA6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EE3" w:rsidRPr="00650735" w:rsidRDefault="00650735" w:rsidP="00650735">
    <w:pPr>
      <w:pStyle w:val="Footer"/>
      <w:tabs>
        <w:tab w:val="clear" w:pos="4680"/>
        <w:tab w:val="clear" w:pos="9360"/>
        <w:tab w:val="center" w:pos="2995"/>
      </w:tabs>
      <w:spacing w:before="120"/>
    </w:pPr>
    <w:r>
      <w:t>[1174]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4FD" w:rsidRDefault="008344FD" w:rsidP="009F0C77">
      <w:r>
        <w:separator/>
      </w:r>
    </w:p>
  </w:footnote>
  <w:footnote w:type="continuationSeparator" w:id="0">
    <w:p w:rsidR="008344FD" w:rsidRDefault="008344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69ZW12"/>
    <w:docVar w:name="CoverBillType" w:val="b"/>
    <w:docVar w:name="docpath" w:val="L:\Council\bills\GGS\22269ZW12.DOCX"/>
    <w:docVar w:name="dvBillNumber" w:val="1174"/>
    <w:docVar w:name="dvBillNumberPrefix" w:val="S. "/>
    <w:docVar w:name="dvOriginalBody" w:val="Senate"/>
    <w:docVar w:name="dvSteno" w:val="GGS"/>
    <w:docVar w:name="NameofBody" w:val="s"/>
    <w:docVar w:name="vgroup2" w:val="Council"/>
  </w:docVars>
  <w:rsids>
    <w:rsidRoot w:val="008E6AC0"/>
    <w:rsid w:val="00026AE7"/>
    <w:rsid w:val="00026C9A"/>
    <w:rsid w:val="00075DAF"/>
    <w:rsid w:val="000965A1"/>
    <w:rsid w:val="000C0542"/>
    <w:rsid w:val="000E1785"/>
    <w:rsid w:val="001023A4"/>
    <w:rsid w:val="0010776B"/>
    <w:rsid w:val="00121C5B"/>
    <w:rsid w:val="00133E66"/>
    <w:rsid w:val="00134ACF"/>
    <w:rsid w:val="00144E15"/>
    <w:rsid w:val="00156D0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A32D8"/>
    <w:rsid w:val="00511EE9"/>
    <w:rsid w:val="00521E00"/>
    <w:rsid w:val="00577C6C"/>
    <w:rsid w:val="0058501B"/>
    <w:rsid w:val="006215AA"/>
    <w:rsid w:val="006340D9"/>
    <w:rsid w:val="00643B8E"/>
    <w:rsid w:val="00650735"/>
    <w:rsid w:val="00665EBC"/>
    <w:rsid w:val="0069470D"/>
    <w:rsid w:val="006A476C"/>
    <w:rsid w:val="006C6A93"/>
    <w:rsid w:val="006E02F9"/>
    <w:rsid w:val="00753A45"/>
    <w:rsid w:val="00753C04"/>
    <w:rsid w:val="00756946"/>
    <w:rsid w:val="00757F80"/>
    <w:rsid w:val="00771EEC"/>
    <w:rsid w:val="00786819"/>
    <w:rsid w:val="007A325A"/>
    <w:rsid w:val="007C7CAC"/>
    <w:rsid w:val="007F1523"/>
    <w:rsid w:val="007F509E"/>
    <w:rsid w:val="007F5799"/>
    <w:rsid w:val="007F6947"/>
    <w:rsid w:val="008344FD"/>
    <w:rsid w:val="00872729"/>
    <w:rsid w:val="008E6AC0"/>
    <w:rsid w:val="008F4429"/>
    <w:rsid w:val="009352BB"/>
    <w:rsid w:val="00990668"/>
    <w:rsid w:val="00991EE3"/>
    <w:rsid w:val="009B5223"/>
    <w:rsid w:val="009D48A3"/>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026AE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075DAF"/>
    <w:rPr>
      <w:rFonts w:ascii="Tahoma" w:hAnsi="Tahoma" w:cs="Tahoma"/>
      <w:sz w:val="16"/>
      <w:szCs w:val="16"/>
    </w:rPr>
  </w:style>
  <w:style w:type="character" w:customStyle="1" w:styleId="BalloonTextChar">
    <w:name w:val="Balloon Text Char"/>
    <w:basedOn w:val="DefaultParagraphFont"/>
    <w:link w:val="BalloonText"/>
    <w:uiPriority w:val="99"/>
    <w:semiHidden/>
    <w:rsid w:val="00075D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FAEB6-D631-4E2B-90B4-A34F5BE06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2012-02-01T21:21:00Z</cp:lastPrinted>
  <dcterms:created xsi:type="dcterms:W3CDTF">2012-02-02T16:49:00Z</dcterms:created>
  <dcterms:modified xsi:type="dcterms:W3CDTF">2012-02-02T16:49:00Z</dcterms:modified>
</cp:coreProperties>
</file>