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971" w:rsidRDefault="00306971" w:rsidP="006B0939">
      <w:pPr>
        <w:tabs>
          <w:tab w:val="right" w:pos="5933"/>
        </w:tabs>
        <w:suppressAutoHyphens/>
        <w:jc w:val="both"/>
        <w:rPr>
          <w:rFonts w:eastAsia="Times New Roman"/>
        </w:rPr>
      </w:pPr>
      <w:r>
        <w:rPr>
          <w:rFonts w:eastAsia="Times New Roman"/>
        </w:rPr>
        <w:t>COMMITTEE AMENDMENT ADOPTED</w:t>
      </w:r>
      <w:r w:rsidR="00884626">
        <w:rPr>
          <w:rFonts w:eastAsia="Times New Roman"/>
        </w:rPr>
        <w:t xml:space="preserve"> AND AMENDED</w:t>
      </w:r>
    </w:p>
    <w:p w:rsidR="00306971" w:rsidRDefault="00884626" w:rsidP="006B0939">
      <w:pPr>
        <w:tabs>
          <w:tab w:val="right" w:pos="5933"/>
        </w:tabs>
        <w:suppressAutoHyphens/>
        <w:jc w:val="both"/>
        <w:rPr>
          <w:rFonts w:eastAsia="Times New Roman"/>
        </w:rPr>
      </w:pPr>
      <w:r>
        <w:rPr>
          <w:rFonts w:eastAsia="Times New Roman"/>
        </w:rPr>
        <w:t>April 26</w:t>
      </w:r>
      <w:r w:rsidR="00306971">
        <w:rPr>
          <w:rFonts w:eastAsia="Times New Roman"/>
        </w:rPr>
        <w:t>, 2012</w:t>
      </w:r>
    </w:p>
    <w:p w:rsidR="00306971" w:rsidRDefault="00306971" w:rsidP="006B0939">
      <w:pPr>
        <w:tabs>
          <w:tab w:val="right" w:pos="5933"/>
        </w:tabs>
        <w:suppressAutoHyphens/>
        <w:jc w:val="both"/>
        <w:rPr>
          <w:rFonts w:eastAsia="Times New Roman"/>
        </w:rPr>
      </w:pPr>
    </w:p>
    <w:p w:rsidR="006B0939" w:rsidRPr="006B0939" w:rsidRDefault="006B0939" w:rsidP="006B0939">
      <w:pPr>
        <w:tabs>
          <w:tab w:val="right" w:pos="5933"/>
        </w:tabs>
        <w:suppressAutoHyphens/>
        <w:jc w:val="both"/>
        <w:rPr>
          <w:rFonts w:eastAsia="Times New Roman"/>
        </w:rPr>
      </w:pPr>
      <w:r>
        <w:rPr>
          <w:rFonts w:eastAsia="Times New Roman"/>
        </w:rPr>
        <w:tab/>
      </w:r>
      <w:r>
        <w:rPr>
          <w:rFonts w:eastAsia="Times New Roman"/>
          <w:b/>
          <w:sz w:val="36"/>
        </w:rPr>
        <w:t>S. 1267</w:t>
      </w: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0939"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44522C">
        <w:t>Senators Hayes, Matthews, Courson, Setzler, Jackson and Hutto</w:t>
      </w: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0939" w:rsidRDefault="008846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4/26</w:t>
      </w:r>
      <w:r w:rsidR="006B0939">
        <w:rPr>
          <w:rFonts w:eastAsia="Times New Roman"/>
        </w:rPr>
        <w:t>/12--S.</w:t>
      </w: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29, 2012.</w:t>
      </w:r>
    </w:p>
    <w:p w:rsidR="0043390E" w:rsidRDefault="006B0939"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B0939" w:rsidSect="006B09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8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0599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C9C" w:rsidRPr="00BB4F66"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2" w:name="titletop"/>
      <w:bookmarkEnd w:id="2"/>
      <w:r w:rsidRPr="00BB4F66">
        <w:rPr>
          <w:rFonts w:eastAsia="Times New Roman"/>
          <w:szCs w:val="20"/>
        </w:rPr>
        <w:t xml:space="preserve">TO AMEND THE CODE OF LAWS OF SOUTH CAROLINA, 1976, BY ADDING CHAPTER 62 TO TITLE 59 SO AS TO ESTABLISH A SCHOOL DISTRICT CHOICE PROGRAM AND OPEN ENROLLMENT PROGRAM WITHIN THE PUBLIC SCHOOL SYSTEM OF THIS STATE, TO PROVIDE FOR A VOLUNTARY PILOT TESTING OF THE PROGRAM BEFORE FULL IMPLEMENTATION, TO DEFINE CERTAIN TERMS, TO PROVIDE FOR AN APPLICATION PROCESS FOR STUDENTS WISHING TO TRANSFER, TO PROVIDE RESPONSIBILITIES OF AND STANDARDS AND CRITERIA FOR SENDING AND RECEIVING SCHOOLS AND SCHOOL DISTRICTS, TO PROVIDE STANDARDS OF APPROVAL, PRIORITIES FOR ACCEPTING STUDENTS, AND CRITERIA FOR DENYING STUDENTS, TO PROVIDE THAT WITH CERTAIN EXCEPTIONS THE PARENT IS RESPONSIBLE FOR TRANSPORTING THE STUDENT TO SCHOOL, TO PROVIDE THAT DISTRICTS SHALL RECEIVE ONE HUNDRED PERCENT OF THE BASE STUDENT COST FROM THE STATE FOR NONRESIDENT STUDENTS ENROLLED PURSUANT TO THIS CHAPTER, TO PROVIDE THAT A STUDENT WITH EXCEPTIONS MAY NOT PARTICIPATE IN INTERSCHOLASTIC ATHLETIC CONTESTS AND COMPETITIONS FOR ONE YEAR AFTER HIS DATE OF ENROLLMENT, TO PROVIDE THAT A RECEIVING DISTRICT SHALL ACCEPT CERTAIN CREDITS TOWARD A STUDENT’S REQUIREMENTS FOR GRADUATION, TO PROVIDE THAT A SCHOOL DISTRICT MAY CONTRACT WITH CERTAIN ENTITIES FOR THE PROVISION OF SERVICES, TO PROVIDE THAT THE STATE DEPARTMENT OF EDUCATION SHALL PROVIDE CERTAIN REPORTS ON THE PROGRAM TO THE GENERAL ASSEMBLY, AND TO PROVIDE THAT IMPLEMENTATION OF THIS PROGRAM </w:t>
      </w:r>
      <w:r w:rsidRPr="00BB4F66">
        <w:rPr>
          <w:rFonts w:eastAsia="Times New Roman"/>
          <w:szCs w:val="20"/>
        </w:rPr>
        <w:lastRenderedPageBreak/>
        <w:t xml:space="preserve">EACH FISCAL YEAR IS CONTINGENT UPON THE APPROPRIATION OF ADEQUATE FUNDING BY THE GENERAL ASSEMBLY.  </w:t>
      </w:r>
    </w:p>
    <w:p w:rsidR="00306971" w:rsidRDefault="00306971"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Amend Title To Conform</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Be it enacted by the General Assembly of the State of South Carolina:</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SECTION</w:t>
      </w:r>
      <w:r w:rsidRPr="00BD1FB7">
        <w:rPr>
          <w:rFonts w:eastAsia="Times New Roman"/>
          <w:szCs w:val="20"/>
        </w:rPr>
        <w:tab/>
        <w:t>1.</w:t>
      </w:r>
      <w:r w:rsidRPr="00BD1FB7">
        <w:rPr>
          <w:rFonts w:eastAsia="Times New Roman"/>
          <w:szCs w:val="20"/>
        </w:rPr>
        <w:tab/>
        <w:t xml:space="preserve">Title 59 of the 1976 Code is amended by adding: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BD1FB7">
        <w:rPr>
          <w:rFonts w:eastAsia="Times New Roman"/>
          <w:szCs w:val="20"/>
        </w:rPr>
        <w:t>“CHAPTER 62</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BD1FB7">
        <w:rPr>
          <w:rFonts w:eastAsia="Times New Roman"/>
          <w:szCs w:val="20"/>
        </w:rPr>
        <w:t>South Carolina Public School Choice Programs</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10.</w:t>
      </w:r>
      <w:r w:rsidRPr="00BD1FB7">
        <w:rPr>
          <w:rFonts w:eastAsia="Times New Roman"/>
          <w:szCs w:val="20"/>
        </w:rPr>
        <w:tab/>
        <w:t>(A)</w:t>
      </w:r>
      <w:r w:rsidRPr="00BD1FB7">
        <w:rPr>
          <w:rFonts w:eastAsia="Times New Roman"/>
          <w:szCs w:val="20"/>
        </w:rPr>
        <w:tab/>
        <w:t>There is established a School District Choice Program and an Open Enrollment Program within the public school system of this State.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w:t>
      </w:r>
      <w:r w:rsidRPr="00BD1FB7">
        <w:rPr>
          <w:rFonts w:eastAsia="Times New Roman"/>
          <w:szCs w:val="20"/>
        </w:rPr>
        <w:tab/>
        <w:t>In establishing these programs, it is the objective of the General Assembly to make the South Carolina public school system the most choice</w:t>
      </w:r>
      <w:r w:rsidRPr="00BD1FB7">
        <w:rPr>
          <w:rFonts w:eastAsia="Times New Roman"/>
          <w:szCs w:val="20"/>
        </w:rPr>
        <w:noBreakHyphen/>
        <w:t xml:space="preserve">driven public school system in the nation by increasing student participation in, and student access to, public school educational opportunities both within and outside of their resident school district, regardless of where they may live or their socioeconomic status. It is therefore the intent of the General Assembly that this chapter be construed broadly to maximize parental choice options and student access to public school educational opportunities that are now not available to their children.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20.</w:t>
      </w:r>
      <w:r w:rsidRPr="00BD1FB7">
        <w:rPr>
          <w:rFonts w:eastAsia="Times New Roman"/>
          <w:szCs w:val="20"/>
        </w:rPr>
        <w:tab/>
        <w:t xml:space="preserve">As used in this chapter: </w:t>
      </w:r>
    </w:p>
    <w:p w:rsidR="006E55E7" w:rsidRPr="00BD1FB7" w:rsidRDefault="00D85C70"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‘School District Choice P</w:t>
      </w:r>
      <w:r w:rsidR="006E55E7" w:rsidRPr="00BD1FB7">
        <w:rPr>
          <w:rFonts w:eastAsia="Times New Roman"/>
          <w:szCs w:val="20"/>
        </w:rPr>
        <w:t>rograms’ means a public education delivery system that requires school districts to provide for student programs of choice offered within the district, which may include, but not be limited to, public charter schools, virtual school programs, extended day or school year programs, flexible school scheduling programs, Montessori programs, single</w:t>
      </w:r>
      <w:r w:rsidR="006E55E7" w:rsidRPr="00BD1FB7">
        <w:rPr>
          <w:rFonts w:eastAsia="Times New Roman"/>
          <w:szCs w:val="20"/>
        </w:rPr>
        <w:noBreakHyphen/>
        <w:t>gender programs, learning team programs, magnet school programs, arts programs, and school</w:t>
      </w:r>
      <w:r w:rsidR="006E55E7" w:rsidRPr="00BD1FB7">
        <w:rPr>
          <w:rFonts w:eastAsia="Times New Roman"/>
          <w:szCs w:val="20"/>
        </w:rPr>
        <w:noBreakHyphen/>
        <w:t>within</w:t>
      </w:r>
      <w:r w:rsidR="006E55E7" w:rsidRPr="00BD1FB7">
        <w:rPr>
          <w:rFonts w:eastAsia="Times New Roman"/>
          <w:szCs w:val="20"/>
        </w:rPr>
        <w:noBreakHyphen/>
        <w:t>a</w:t>
      </w:r>
      <w:r w:rsidR="006E55E7" w:rsidRPr="00BD1FB7">
        <w:rPr>
          <w:rFonts w:eastAsia="Times New Roman"/>
          <w:szCs w:val="20"/>
        </w:rPr>
        <w:noBreakHyphen/>
        <w:t>school programs and to provide for school assignments t</w:t>
      </w:r>
      <w:r>
        <w:rPr>
          <w:rFonts w:eastAsia="Times New Roman"/>
          <w:szCs w:val="20"/>
        </w:rPr>
        <w:t xml:space="preserve">o these programs using parents’ </w:t>
      </w:r>
      <w:r w:rsidR="006E55E7" w:rsidRPr="00BD1FB7">
        <w:rPr>
          <w:rFonts w:eastAsia="Times New Roman"/>
          <w:szCs w:val="20"/>
        </w:rPr>
        <w:t>indicated preferential choice as a significant factor for assigning students within the district.</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(2)</w:t>
      </w:r>
      <w:r w:rsidRPr="00BD1FB7">
        <w:rPr>
          <w:rFonts w:eastAsia="Times New Roman"/>
          <w:szCs w:val="20"/>
        </w:rPr>
        <w:tab/>
        <w:t xml:space="preserve">‘Open </w:t>
      </w:r>
      <w:r w:rsidR="00D85C70">
        <w:rPr>
          <w:rFonts w:eastAsia="Times New Roman"/>
          <w:szCs w:val="20"/>
        </w:rPr>
        <w:t>E</w:t>
      </w:r>
      <w:r w:rsidRPr="00BD1FB7">
        <w:rPr>
          <w:rFonts w:eastAsia="Times New Roman"/>
          <w:szCs w:val="20"/>
        </w:rPr>
        <w:t xml:space="preserve">nrollment’ means a public education delivery system that requires school districts to allow for school </w:t>
      </w:r>
      <w:r w:rsidRPr="00BD1FB7">
        <w:rPr>
          <w:rFonts w:eastAsia="Times New Roman"/>
          <w:szCs w:val="20"/>
        </w:rPr>
        <w:lastRenderedPageBreak/>
        <w:t>assignments of students outside of the students’ distr</w:t>
      </w:r>
      <w:r w:rsidR="00D85C70">
        <w:rPr>
          <w:rFonts w:eastAsia="Times New Roman"/>
          <w:szCs w:val="20"/>
        </w:rPr>
        <w:t xml:space="preserve">ict of residence using parents’ </w:t>
      </w:r>
      <w:r w:rsidRPr="00BD1FB7">
        <w:rPr>
          <w:rFonts w:eastAsia="Times New Roman"/>
          <w:szCs w:val="20"/>
        </w:rPr>
        <w:t>indicated preferential choice as a significant factor.</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(3)</w:t>
      </w:r>
      <w:r w:rsidRPr="00BD1FB7">
        <w:rPr>
          <w:rFonts w:eastAsia="Times New Roman"/>
          <w:szCs w:val="20"/>
        </w:rPr>
        <w:tab/>
        <w:t>‘Attendance zone’ means the geographic area used to determine a particular school assignment for students in the district of residence.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(4)</w:t>
      </w:r>
      <w:r w:rsidRPr="00BD1FB7">
        <w:rPr>
          <w:rFonts w:eastAsia="Times New Roman"/>
          <w:szCs w:val="20"/>
        </w:rPr>
        <w:tab/>
        <w:t xml:space="preserve">‘Capacity’ </w:t>
      </w:r>
      <w:r w:rsidRPr="00BD1FB7">
        <w:rPr>
          <w:rFonts w:eastAsia="Times New Roman"/>
          <w:bCs/>
          <w:szCs w:val="20"/>
        </w:rPr>
        <w:t xml:space="preserve">as established by the local board of trustees means individual school capacities to include any district projections per school for the school year impacted by a transfer pursuant to this chapter. However, when defining capacity, only permanent building structures may be included in the calculation of capacity </w:t>
      </w:r>
      <w:r w:rsidRPr="00BD1FB7">
        <w:rPr>
          <w:rFonts w:eastAsia="Times New Roman"/>
          <w:szCs w:val="20"/>
        </w:rPr>
        <w:t>and must not include transfers permitted by federal law.</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(5)</w:t>
      </w:r>
      <w:r w:rsidRPr="00BD1FB7">
        <w:rPr>
          <w:rFonts w:eastAsia="Times New Roman"/>
          <w:szCs w:val="20"/>
        </w:rPr>
        <w:tab/>
        <w:t>‘District of residence’ means a school district in which the parent or guardian of a student resides.</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(6)</w:t>
      </w:r>
      <w:r w:rsidRPr="00BD1FB7">
        <w:rPr>
          <w:rFonts w:eastAsia="Times New Roman"/>
          <w:szCs w:val="20"/>
        </w:rPr>
        <w:tab/>
        <w:t>‘Feeder pattern’ means the schools to which students are assigned upon the completion of the highest grade level of their previous school.</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(7)</w:t>
      </w:r>
      <w:r w:rsidRPr="00BD1FB7">
        <w:rPr>
          <w:rFonts w:eastAsia="Times New Roman"/>
          <w:szCs w:val="20"/>
        </w:rPr>
        <w:tab/>
        <w:t>‘Good cause’ means a change in a child’s residence due to a change in parent</w:t>
      </w:r>
      <w:r w:rsidR="00D85C70">
        <w:rPr>
          <w:rFonts w:eastAsia="Times New Roman"/>
          <w:szCs w:val="20"/>
        </w:rPr>
        <w:t>s</w:t>
      </w:r>
      <w:r w:rsidRPr="00BD1FB7">
        <w:rPr>
          <w:rFonts w:eastAsia="Times New Roman"/>
          <w:szCs w:val="20"/>
        </w:rPr>
        <w:t xml:space="preserve"> or guardian’s residence, a change in a child’s parent’s marital status, a change caused by a guardianship or custody proceeding, placement of a child in foster care, adoption, participation by a child in an approved foreign exchange program, or participation by a child in a substance abuse or mental health treatment program, revocation of a charter school contract, or a set of circumstances consistent with this definition of ‘good cause’.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(8)</w:t>
      </w:r>
      <w:r w:rsidRPr="00BD1FB7">
        <w:rPr>
          <w:rFonts w:eastAsia="Times New Roman"/>
          <w:szCs w:val="20"/>
        </w:rPr>
        <w:tab/>
        <w:t>‘Parent’ means the parent or legal guardian of a student of the State.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(9)</w:t>
      </w:r>
      <w:r w:rsidRPr="00BD1FB7">
        <w:rPr>
          <w:rFonts w:eastAsia="Times New Roman"/>
          <w:szCs w:val="20"/>
        </w:rPr>
        <w:tab/>
        <w:t>‘Receiving district’ means a school district other than the district of residence in which a student seeks to enroll. Where the district of residence includes more than one school providing instruction at a given grade level, and a parent of a child entering the grade level applies to enroll his child in a public school in the district of residence other than the program in which the child would normally be assigned to attend based on the child’s place of residence, the district of residence also must be considered to be the receiving district for purposes of this chapter.</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(10)</w:t>
      </w:r>
      <w:r w:rsidRPr="00BD1FB7">
        <w:rPr>
          <w:rFonts w:eastAsia="Times New Roman"/>
          <w:szCs w:val="20"/>
        </w:rPr>
        <w:tab/>
        <w:t>‘Siblings’ mean all children residing in the same household on a permanent basis who have the same mother or father or guardian.</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(11)</w:t>
      </w:r>
      <w:r w:rsidRPr="00BD1FB7">
        <w:rPr>
          <w:rFonts w:eastAsia="Times New Roman"/>
          <w:szCs w:val="20"/>
        </w:rPr>
        <w:tab/>
        <w:t>‘Working days’ means working days as determined by a school district’s administrative calendar.</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lastRenderedPageBreak/>
        <w:tab/>
      </w:r>
      <w:r w:rsidRPr="00BD1FB7">
        <w:rPr>
          <w:rFonts w:eastAsia="Times New Roman"/>
          <w:szCs w:val="20"/>
        </w:rPr>
        <w:tab/>
        <w:t>(12)</w:t>
      </w:r>
      <w:r w:rsidRPr="00BD1FB7">
        <w:rPr>
          <w:rFonts w:eastAsia="Times New Roman"/>
          <w:szCs w:val="20"/>
        </w:rPr>
        <w:tab/>
        <w:t xml:space="preserve">‘Department’ means the South Carolina Department of Education.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30.</w:t>
      </w:r>
      <w:r w:rsidRPr="00BD1FB7">
        <w:rPr>
          <w:rFonts w:eastAsia="Times New Roman"/>
          <w:szCs w:val="20"/>
        </w:rPr>
        <w:tab/>
      </w:r>
      <w:r w:rsidRPr="00BD1FB7">
        <w:rPr>
          <w:rFonts w:eastAsia="Times New Roman"/>
          <w:bCs/>
          <w:szCs w:val="20"/>
        </w:rPr>
        <w:t>(A)</w:t>
      </w:r>
      <w:r w:rsidRPr="00BD1FB7">
        <w:rPr>
          <w:rFonts w:eastAsia="Times New Roman"/>
          <w:bCs/>
          <w:szCs w:val="20"/>
        </w:rPr>
        <w:tab/>
        <w:t xml:space="preserve">The department shall provide school districts with information on various school choice programs, best practice information, staff development, assistance in planning for transportation needs, and technical assistance for developing and implementing public school choice and open enrollment programs throughout the State.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bCs/>
          <w:szCs w:val="20"/>
        </w:rPr>
        <w:tab/>
        <w:t>(B)</w:t>
      </w:r>
      <w:r w:rsidRPr="00BD1FB7">
        <w:rPr>
          <w:rFonts w:eastAsia="Times New Roman"/>
          <w:bCs/>
          <w:szCs w:val="20"/>
        </w:rPr>
        <w:tab/>
        <w:t>In conjunction with a series of town meetings held throughout the State, the department shall conduct a statewide inventory.  The inventory shall be designed to determine the public’s knowledge and understanding of public school choice.  Additionally, the inventory shall collect information on district growth projections, choice programs available in districts, and choice options parents would like to see implemented in their district of residence.  With the information received from the statewide inventory, the department shall compile and disseminate the results to the school districts of the State and members of the General Assembly.</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bCs/>
          <w:szCs w:val="20"/>
        </w:rPr>
        <w:tab/>
        <w:t>(C)</w:t>
      </w:r>
      <w:r w:rsidRPr="00BD1FB7">
        <w:rPr>
          <w:rFonts w:eastAsia="Times New Roman"/>
          <w:bCs/>
          <w:szCs w:val="20"/>
        </w:rPr>
        <w:tab/>
        <w:t>In the 2012</w:t>
      </w:r>
      <w:r w:rsidRPr="00BD1FB7">
        <w:rPr>
          <w:rFonts w:eastAsia="Times New Roman"/>
          <w:bCs/>
          <w:szCs w:val="20"/>
        </w:rPr>
        <w:noBreakHyphen/>
        <w:t>2013 school year, with funds appropriated by the General Assembly, the department shall establish a School District Choice and an Open Enrollment pilot program.  Participation of districts shall be voluntary.  The School District Choice pilot program shall be designed to pair districts currently offering multiple student choice options with districts where student choice options are limited or do not exist, for the purpose of offering guidance, technical assistance, and staff development.  The Open Enrollment pilot program shall be designed to provide non</w:t>
      </w:r>
      <w:r w:rsidRPr="00BD1FB7">
        <w:rPr>
          <w:rFonts w:eastAsia="Times New Roman"/>
          <w:bCs/>
          <w:szCs w:val="20"/>
        </w:rPr>
        <w:noBreakHyphen/>
        <w:t xml:space="preserve">tuition choice options for students between adjacent school districts.  The department shall offer technical assistance to the pilot districts in developing and implementing Open Enrollment choice programs.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bCs/>
          <w:szCs w:val="20"/>
        </w:rPr>
        <w:tab/>
        <w:t>(D)</w:t>
      </w:r>
      <w:r w:rsidRPr="00BD1FB7">
        <w:rPr>
          <w:rFonts w:eastAsia="Times New Roman"/>
          <w:bCs/>
          <w:szCs w:val="20"/>
        </w:rPr>
        <w:tab/>
        <w:t>Throughout the pilot year, the department shall provide information to all school districts regarding obstacles that have the potential of interfering with the implementation of quality school choice and open enrollment programs and shall make recommendations for overcoming and avoiding those obstacles.  The information provided also shall include costs associated with the implementation of both pilot programs.</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color w:val="000000"/>
        </w:rPr>
        <w:tab/>
        <w:t>(E)</w:t>
      </w:r>
      <w:r w:rsidRPr="00BD1FB7">
        <w:rPr>
          <w:rFonts w:eastAsia="Times New Roman"/>
          <w:color w:val="000000"/>
        </w:rPr>
        <w:tab/>
        <w:t xml:space="preserve">The State Board of Education shall develop guidelines listing factors to be considered in determining school capacity.  In developing these guidelines, a task force shall be established with </w:t>
      </w:r>
      <w:r w:rsidRPr="00BD1FB7">
        <w:rPr>
          <w:rFonts w:eastAsia="Times New Roman"/>
          <w:color w:val="000000"/>
        </w:rPr>
        <w:lastRenderedPageBreak/>
        <w:t>membership to include, but not be limited to, school board members, superintendents, principals, parents, and business and community leaders.  The membership of the task force shall reflect urban and rural areas of the State.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bCs/>
          <w:szCs w:val="20"/>
        </w:rPr>
        <w:tab/>
        <w:t>(F)</w:t>
      </w:r>
      <w:r w:rsidRPr="00BD1FB7">
        <w:rPr>
          <w:rFonts w:eastAsia="Times New Roman"/>
          <w:bCs/>
          <w:szCs w:val="20"/>
        </w:rPr>
        <w:tab/>
        <w:t>During the 2012</w:t>
      </w:r>
      <w:r w:rsidRPr="00BD1FB7">
        <w:rPr>
          <w:rFonts w:eastAsia="Times New Roman"/>
          <w:bCs/>
          <w:szCs w:val="20"/>
        </w:rPr>
        <w:noBreakHyphen/>
        <w:t>2013 school year, each school district of the State shall convene a School Choice Committee.  The committee shall include, but not be limited to, members representing parents, community and business leaders, teachers, and students.  The committee membership shall represent the ethnicity and geographic diversity of the district.  With information obtained from the statewide survey, the School Choice Committee shall develop an action plan incorporated in the school renewal plan for providing parents and students choice options within the district and shall include a timeline and budget proposal for implementation of the identified options.  Each district shall submit their plan to the department for review, and if necessary the department shall provide recommendations.  Districts having plans currently in place also shall submit their plans.</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40.</w:t>
      </w:r>
      <w:r w:rsidRPr="00BD1FB7">
        <w:rPr>
          <w:rFonts w:eastAsia="Times New Roman"/>
          <w:szCs w:val="20"/>
        </w:rPr>
        <w:tab/>
        <w:t>(A)</w:t>
      </w:r>
      <w:r w:rsidRPr="00BD1FB7">
        <w:rPr>
          <w:rFonts w:eastAsia="Times New Roman"/>
          <w:szCs w:val="20"/>
        </w:rPr>
        <w:tab/>
        <w:t>Beginning in the 2013</w:t>
      </w:r>
      <w:r w:rsidRPr="00BD1FB7">
        <w:rPr>
          <w:rFonts w:eastAsia="Times New Roman"/>
          <w:szCs w:val="20"/>
        </w:rPr>
        <w:noBreakHyphen/>
        <w:t>2014 school year and succeeding school years with innovation funds appropriated from the General Assembly, each school district of the State shall begin implementation of their school choice plans.  At a minimum, each district shall begin by providing a choice option for students at the elementary, middle, and high school level.  With approval from the department, districts may utilize technical assistance funds provided pursuant to Section 59</w:t>
      </w:r>
      <w:r w:rsidRPr="00BD1FB7">
        <w:rPr>
          <w:rFonts w:eastAsia="Times New Roman"/>
          <w:szCs w:val="20"/>
        </w:rPr>
        <w:noBreakHyphen/>
        <w:t>18</w:t>
      </w:r>
      <w:r w:rsidRPr="00BD1FB7">
        <w:rPr>
          <w:rFonts w:eastAsia="Times New Roman"/>
          <w:szCs w:val="20"/>
        </w:rPr>
        <w:noBreakHyphen/>
        <w:t>1590 to assist in the implementation of school choice plans.</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w:t>
      </w:r>
      <w:r w:rsidRPr="00BD1FB7">
        <w:rPr>
          <w:rFonts w:eastAsia="Times New Roman"/>
          <w:szCs w:val="20"/>
        </w:rPr>
        <w:tab/>
        <w:t>During the 2013</w:t>
      </w:r>
      <w:r w:rsidRPr="00BD1FB7">
        <w:rPr>
          <w:rFonts w:eastAsia="Times New Roman"/>
          <w:szCs w:val="20"/>
        </w:rPr>
        <w:noBreakHyphen/>
        <w:t>2014 school year, the School Choice Committee, established pursuant to Section 59</w:t>
      </w:r>
      <w:r w:rsidRPr="00BD1FB7">
        <w:rPr>
          <w:rFonts w:eastAsia="Times New Roman"/>
          <w:szCs w:val="20"/>
        </w:rPr>
        <w:noBreakHyphen/>
        <w:t>62</w:t>
      </w:r>
      <w:r w:rsidRPr="00BD1FB7">
        <w:rPr>
          <w:rFonts w:eastAsia="Times New Roman"/>
          <w:szCs w:val="20"/>
        </w:rPr>
        <w:noBreakHyphen/>
        <w:t>30(F), and school district administration shall develop plans to implement an Open Enrollment choice program as outlined in this chapter.  However, nothing in this chapter shall prohibit a school district from implementing the Open Enrollment choice program prior to the 2014</w:t>
      </w:r>
      <w:r w:rsidRPr="00BD1FB7">
        <w:rPr>
          <w:rFonts w:eastAsia="Times New Roman"/>
          <w:szCs w:val="20"/>
        </w:rPr>
        <w:noBreakHyphen/>
        <w:t>2015 school year.</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(C)</w:t>
      </w:r>
      <w:r w:rsidRPr="00BD1FB7">
        <w:rPr>
          <w:rFonts w:eastAsia="Times New Roman"/>
          <w:szCs w:val="20"/>
        </w:rPr>
        <w:tab/>
        <w:t>Based on the findings obtained from the pilot programs established in Section 59</w:t>
      </w:r>
      <w:r w:rsidRPr="00BD1FB7">
        <w:rPr>
          <w:rFonts w:eastAsia="Times New Roman"/>
          <w:szCs w:val="20"/>
        </w:rPr>
        <w:noBreakHyphen/>
        <w:t>62</w:t>
      </w:r>
      <w:r w:rsidRPr="00BD1FB7">
        <w:rPr>
          <w:rFonts w:eastAsia="Times New Roman"/>
          <w:szCs w:val="20"/>
        </w:rPr>
        <w:noBreakHyphen/>
        <w:t xml:space="preserve">30(C) and the implementation of district choice programs, the department shall issue a report to the General Assembly by January 1, 2014.  The report shall include, but not be limited to, districts participating in the pilot programs and number of students participating in new choice options, types of choice options being implemented in each school district, number of students participating in school district choice options, </w:t>
      </w:r>
      <w:r w:rsidRPr="00BD1FB7">
        <w:rPr>
          <w:rFonts w:eastAsia="Times New Roman"/>
          <w:szCs w:val="20"/>
        </w:rPr>
        <w:lastRenderedPageBreak/>
        <w:t>and recommended changes to this chapter to include the basis for such recommendations.</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50.</w:t>
      </w:r>
      <w:r w:rsidRPr="00BD1FB7">
        <w:rPr>
          <w:rFonts w:eastAsia="Times New Roman"/>
          <w:szCs w:val="20"/>
        </w:rPr>
        <w:tab/>
        <w:t>(A)</w:t>
      </w:r>
      <w:r w:rsidRPr="00BD1FB7">
        <w:rPr>
          <w:rFonts w:eastAsia="Times New Roman"/>
          <w:szCs w:val="20"/>
        </w:rPr>
        <w:tab/>
        <w:t>Beginning with the 2014</w:t>
      </w:r>
      <w:r w:rsidRPr="00BD1FB7">
        <w:rPr>
          <w:rFonts w:eastAsia="Times New Roman"/>
          <w:szCs w:val="20"/>
        </w:rPr>
        <w:noBreakHyphen/>
        <w:t>2015 school year and each succeeding school year, a parent residing in this State may enroll his child in a public school in any school district without the requirement of payment of tuition in the manner provided in this chapter.</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(B)(1)</w:t>
      </w:r>
      <w:r w:rsidRPr="00BD1FB7">
        <w:rPr>
          <w:rFonts w:eastAsia="Times New Roman"/>
          <w:szCs w:val="20"/>
        </w:rPr>
        <w:tab/>
        <w:t>Each school district of the State shall participate in public school open enrollment consistent with this chapter.</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(2)</w:t>
      </w:r>
      <w:r w:rsidRPr="00BD1FB7">
        <w:rPr>
          <w:rFonts w:eastAsia="Times New Roman"/>
          <w:szCs w:val="20"/>
        </w:rPr>
        <w:tab/>
        <w:t xml:space="preserve">A parent of a school age child may apply to enroll his child in a school in a receiving district by submitting a written application, on a form provided to districts by the department, to the receiving district and to the district of residence postmarked not later than January fifteen for enrollment during the following school year for grades kindergarten through twelve. The application should identify the reason for seeking enrollment in the receiving district. The parent shall request a particular school or program as part of the application.  </w:t>
      </w:r>
      <w:r w:rsidRPr="00BD1FB7">
        <w:rPr>
          <w:rFonts w:eastAsia="Times New Roman"/>
          <w:color w:val="000000"/>
        </w:rPr>
        <w:t>However, the assignment of the student must be determined by the receiving school district based on capacity.</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(3)</w:t>
      </w:r>
      <w:r w:rsidRPr="00BD1FB7">
        <w:rPr>
          <w:rFonts w:eastAsia="Times New Roman"/>
          <w:szCs w:val="20"/>
        </w:rPr>
        <w:tab/>
        <w:t>If a parent desires to transfer a child to a school within the parent and child’s district of residence but not within the child’s attendance area or zone, the parent shall make application therefore in the same manner provided in this chapter for interdistrict transfers.</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(4)</w:t>
      </w:r>
      <w:r w:rsidRPr="00BD1FB7">
        <w:rPr>
          <w:rFonts w:eastAsia="Times New Roman"/>
          <w:szCs w:val="20"/>
        </w:rPr>
        <w:tab/>
        <w:t>If a local school board by the last day of February notifies an applicant that their application for enrollment in a particular school has been denied due to a lack of capacity in that school, the school board in the denial notice also shall notify the applicant of any remaining schools in the district with the capacity to accept additional students seeking to enroll under this chapter.  In this case, the applicant has an additional fifteen days from receipt of the notice to reapply seeking enrollment in one of these schools with capacity and the local board within fifteen days after receipt of the new application must act thereon.</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(C)</w:t>
      </w:r>
      <w:r w:rsidRPr="00BD1FB7">
        <w:rPr>
          <w:rFonts w:eastAsia="Times New Roman"/>
          <w:szCs w:val="20"/>
        </w:rPr>
        <w:tab/>
        <w:t>If a parent of a school age child fails to file an application by the deadline, and good cause exists for the failure to meet the deadline, the receiving district and the district of residence may accept and consider the application in the same manner as if the deadline had been met.</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lastRenderedPageBreak/>
        <w:tab/>
        <w:t>(D)</w:t>
      </w:r>
      <w:r w:rsidRPr="00BD1FB7">
        <w:rPr>
          <w:rFonts w:eastAsia="Times New Roman"/>
          <w:szCs w:val="20"/>
        </w:rPr>
        <w:tab/>
        <w:t>Upon agreement between the resident and the nonresident school boards, or between the affected schools within the resident district, the deadline for application may be waived.</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(E)</w:t>
      </w:r>
      <w:r w:rsidRPr="00BD1FB7">
        <w:rPr>
          <w:rFonts w:eastAsia="Times New Roman"/>
          <w:szCs w:val="20"/>
        </w:rPr>
        <w:tab/>
        <w:t>The parent or guardian of the student approved to enroll shall confirm in writing to the nonresident school district by April first whether the student intends to enroll. Notice of intent to enroll in the nonresident district obligates the student to attend the nonresident district during the following school year, unless the boards of the resident and nonresident school districts agree in writing to allow the student to transfer back to the district of residence, or good cause can be substantiated.</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(F)</w:t>
      </w:r>
      <w:r w:rsidRPr="00BD1FB7">
        <w:rPr>
          <w:rFonts w:eastAsia="Times New Roman"/>
          <w:szCs w:val="20"/>
        </w:rPr>
        <w:tab/>
        <w:t>A parent who applies under this chapter and whose child is approved to enroll in a school outside of his school attendance area of his resident district but whose child fails to attend the school is ineligible to apply again for enrollment for a period of one year absent good cause shown.  Good cause shall be determined by the board of the local school district of the applicable school.</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60.</w:t>
      </w:r>
      <w:r w:rsidRPr="00BD1FB7">
        <w:rPr>
          <w:rFonts w:eastAsia="Times New Roman"/>
          <w:szCs w:val="20"/>
        </w:rPr>
        <w:tab/>
        <w:t>(A)</w:t>
      </w:r>
      <w:r w:rsidRPr="00BD1FB7">
        <w:rPr>
          <w:rFonts w:eastAsia="Times New Roman"/>
          <w:szCs w:val="20"/>
        </w:rPr>
        <w:tab/>
        <w:t>Within ten working days of receiving an application, the receiving district shall notify the district of residence that it has received application. This notification must include the grade level and school the student previously attended in the district of residence.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w:t>
      </w:r>
      <w:r w:rsidRPr="00BD1FB7">
        <w:rPr>
          <w:rFonts w:eastAsia="Times New Roman"/>
          <w:szCs w:val="20"/>
        </w:rPr>
        <w:tab/>
        <w:t>The board of trustees of the receiving district shall take action no later than the last day of February of the school year preceding enrollment to approve or deny an application for admission in grades kindergarten through twelve.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(C)</w:t>
      </w:r>
      <w:r w:rsidRPr="00BD1FB7">
        <w:rPr>
          <w:rFonts w:eastAsia="Times New Roman"/>
          <w:szCs w:val="20"/>
        </w:rPr>
        <w:tab/>
        <w:t>The board of the receiving district shall take action to approve or deny an application filed in accordance with Section 59</w:t>
      </w:r>
      <w:r w:rsidRPr="00BD1FB7">
        <w:rPr>
          <w:rFonts w:eastAsia="Times New Roman"/>
          <w:szCs w:val="20"/>
        </w:rPr>
        <w:noBreakHyphen/>
        <w:t>62</w:t>
      </w:r>
      <w:r w:rsidRPr="00BD1FB7">
        <w:rPr>
          <w:rFonts w:eastAsia="Times New Roman"/>
          <w:szCs w:val="20"/>
        </w:rPr>
        <w:noBreakHyphen/>
        <w:t>50(B) within forty</w:t>
      </w:r>
      <w:r w:rsidRPr="00BD1FB7">
        <w:rPr>
          <w:rFonts w:eastAsia="Times New Roman"/>
          <w:szCs w:val="20"/>
        </w:rPr>
        <w:noBreakHyphen/>
        <w:t>five days of the receipt of the application.</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(D)</w:t>
      </w:r>
      <w:r w:rsidRPr="00BD1FB7">
        <w:rPr>
          <w:rFonts w:eastAsia="Times New Roman"/>
          <w:szCs w:val="20"/>
        </w:rPr>
        <w:tab/>
        <w:t xml:space="preserve">The board of the receiving district shall notify the parent of the child and the board of the district of residence in writing within five working days after board action. In the case of denial, a written explanation of the denial must be included in the notification.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65.</w:t>
      </w:r>
      <w:r w:rsidRPr="00BD1FB7">
        <w:rPr>
          <w:rFonts w:eastAsia="Times New Roman"/>
          <w:szCs w:val="20"/>
        </w:rPr>
        <w:tab/>
        <w:t xml:space="preserve">Students under this chapter, subject to capacity and the other requirements of this chapter, shall be permitted to transfer to a school outside their attendance area within their district or to a school outside their attendance area in another district.  Where the provisions of this chapter refer to sending districts or receiving districts, or both, they shall be </w:t>
      </w:r>
      <w:r w:rsidRPr="00BD1FB7">
        <w:rPr>
          <w:rFonts w:eastAsia="Times New Roman"/>
          <w:szCs w:val="20"/>
        </w:rPr>
        <w:lastRenderedPageBreak/>
        <w:t>construed to mean sending schools or receiving schools as appropriate when the context requires.</w:t>
      </w:r>
      <w:r w:rsidRPr="00BD1FB7">
        <w:rPr>
          <w:rFonts w:eastAsia="Times New Roman"/>
          <w:szCs w:val="20"/>
        </w:rPr>
        <w:tab/>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Pr>
          <w:rFonts w:eastAsia="Times New Roman"/>
          <w:szCs w:val="20"/>
        </w:rPr>
        <w:noBreakHyphen/>
      </w:r>
      <w:r w:rsidRPr="00BD1FB7">
        <w:rPr>
          <w:rFonts w:eastAsia="Times New Roman"/>
          <w:szCs w:val="20"/>
        </w:rPr>
        <w:t>62</w:t>
      </w:r>
      <w:r>
        <w:rPr>
          <w:rFonts w:eastAsia="Times New Roman"/>
          <w:szCs w:val="20"/>
        </w:rPr>
        <w:noBreakHyphen/>
      </w:r>
      <w:r w:rsidRPr="00BD1FB7">
        <w:rPr>
          <w:rFonts w:eastAsia="Times New Roman"/>
          <w:szCs w:val="20"/>
        </w:rPr>
        <w:t>70.</w:t>
      </w:r>
      <w:r w:rsidRPr="00BD1FB7">
        <w:rPr>
          <w:rFonts w:eastAsia="Times New Roman"/>
          <w:szCs w:val="20"/>
        </w:rPr>
        <w:tab/>
        <w:t>(A)</w:t>
      </w:r>
      <w:r w:rsidRPr="00BD1FB7">
        <w:rPr>
          <w:rFonts w:eastAsia="Times New Roman"/>
          <w:szCs w:val="20"/>
        </w:rPr>
        <w:tab/>
        <w:t>In implementing the provisions of this chapter, a student who currently resides in the attendance zone of a school</w:t>
      </w:r>
      <w:r>
        <w:rPr>
          <w:rFonts w:eastAsia="Times New Roman"/>
          <w:szCs w:val="20"/>
        </w:rPr>
        <w:t>, or who qualifies to attend schools within the attendance zone pursuant to Section 59</w:t>
      </w:r>
      <w:r>
        <w:rPr>
          <w:rFonts w:eastAsia="Times New Roman"/>
          <w:szCs w:val="20"/>
        </w:rPr>
        <w:noBreakHyphen/>
        <w:t>63</w:t>
      </w:r>
      <w:r>
        <w:rPr>
          <w:rFonts w:eastAsia="Times New Roman"/>
          <w:szCs w:val="20"/>
        </w:rPr>
        <w:noBreakHyphen/>
        <w:t>30,</w:t>
      </w:r>
      <w:r w:rsidRPr="00BD1FB7">
        <w:rPr>
          <w:rFonts w:eastAsia="Times New Roman"/>
          <w:szCs w:val="20"/>
        </w:rPr>
        <w:t xml:space="preserve"> must not be displaced by students transferring from outside the attendance zone.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w:t>
      </w:r>
      <w:r w:rsidRPr="00BD1FB7">
        <w:rPr>
          <w:rFonts w:eastAsia="Times New Roman"/>
          <w:szCs w:val="20"/>
        </w:rPr>
        <w:tab/>
        <w:t>A school district is not required to:</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(1)</w:t>
      </w:r>
      <w:r w:rsidRPr="00BD1FB7">
        <w:rPr>
          <w:rFonts w:eastAsia="Times New Roman"/>
          <w:szCs w:val="20"/>
        </w:rPr>
        <w:tab/>
        <w:t>accept students at a particular school residing outside the school’s attendance area in excess of three percent of the school’s highest average daily membership in any year over the preceding ten</w:t>
      </w:r>
      <w:r w:rsidRPr="00BD1FB7">
        <w:rPr>
          <w:rFonts w:eastAsia="Times New Roman"/>
          <w:szCs w:val="20"/>
        </w:rPr>
        <w:noBreakHyphen/>
        <w:t>year period.  Accepting students residing outside of the attendance area for a particular school must be phased in at a yearly increase of one percent of the school’s previous year’s average daily membership.  Enrolled students residing outside of the school’s attendance zone must continue to be counted in the receiving school’s acceptance percentage until the student is no longer enrolled in a receiving school;</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(2)</w:t>
      </w:r>
      <w:r w:rsidRPr="00BD1FB7">
        <w:rPr>
          <w:rFonts w:eastAsia="Times New Roman"/>
          <w:szCs w:val="20"/>
        </w:rPr>
        <w:tab/>
        <w:t>make alterations in the structure of a requested school;</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(3)</w:t>
      </w:r>
      <w:r w:rsidRPr="00BD1FB7">
        <w:rPr>
          <w:rFonts w:eastAsia="Times New Roman"/>
          <w:szCs w:val="20"/>
        </w:rPr>
        <w:tab/>
        <w:t xml:space="preserve">establish and offer a particular program in a school if the program is not currently offered in the requested school; or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(4)</w:t>
      </w:r>
      <w:r w:rsidRPr="00BD1FB7">
        <w:rPr>
          <w:rFonts w:eastAsia="Times New Roman"/>
          <w:szCs w:val="20"/>
        </w:rPr>
        <w:tab/>
        <w:t xml:space="preserve">alter or waive an established eligibility criteria for participation in a particular program, including age requirements, course prerequisites, or required levels of performance.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(C)</w:t>
      </w:r>
      <w:r w:rsidRPr="00BD1FB7">
        <w:rPr>
          <w:rFonts w:eastAsia="Times New Roman"/>
          <w:szCs w:val="20"/>
        </w:rPr>
        <w:tab/>
        <w:t xml:space="preserve">The school board of trustees shall adopt specific policies regarding capacity standards, standards of approval, and priorities of acceptance.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(1)</w:t>
      </w:r>
      <w:r w:rsidRPr="00BD1FB7">
        <w:rPr>
          <w:rFonts w:eastAsia="Times New Roman"/>
          <w:szCs w:val="20"/>
        </w:rPr>
        <w:tab/>
        <w:t xml:space="preserve">Standards of approval may include consideration of the capacity of a program, class, or grade level. </w:t>
      </w:r>
      <w:r w:rsidRPr="00BD1FB7">
        <w:rPr>
          <w:rFonts w:eastAsia="Times New Roman"/>
          <w:bCs/>
          <w:iCs/>
          <w:szCs w:val="20"/>
        </w:rPr>
        <w:t xml:space="preserve"> </w:t>
      </w:r>
      <w:r w:rsidRPr="00BD1FB7">
        <w:rPr>
          <w:rFonts w:eastAsia="Times New Roman"/>
          <w:szCs w:val="20"/>
        </w:rPr>
        <w:t xml:space="preserve">Standards must not be based on ethnicity, national origin, gender, income level, or include an applicant’s athletic, artistic, or other extracurricular ability, disabling conditions, English proficiency level, or previous disciplinary proceedings, except that an expulsion from another district, offenses committed that would result in expulsion, or suspensions from the previous school year that total ten days may be included.  However, the school board may provide for provisional enrollment of students with prior behavior problems and may establish conditions under which enrollment of nonresident students would be permitted or continued.  Standards may include an applicant’s previous academic achievement only if enrollment in that program or school is based upon specific levels </w:t>
      </w:r>
      <w:r w:rsidRPr="00BD1FB7">
        <w:rPr>
          <w:rFonts w:eastAsia="Times New Roman"/>
          <w:szCs w:val="20"/>
        </w:rPr>
        <w:lastRenderedPageBreak/>
        <w:t xml:space="preserve">of performance uniformly applied to all seeking enrollment to that program or school.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(2)</w:t>
      </w:r>
      <w:r w:rsidRPr="00BD1FB7">
        <w:rPr>
          <w:rFonts w:eastAsia="Times New Roman"/>
          <w:szCs w:val="20"/>
        </w:rPr>
        <w:tab/>
        <w:t xml:space="preserve">In the assignment of students, priority must be given: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BD1FB7">
        <w:rPr>
          <w:rFonts w:eastAsia="Times New Roman"/>
          <w:szCs w:val="20"/>
        </w:rPr>
        <w:tab/>
      </w:r>
      <w:r w:rsidRPr="00BD1FB7">
        <w:rPr>
          <w:rFonts w:eastAsia="Times New Roman"/>
          <w:color w:val="000000"/>
        </w:rPr>
        <w:tab/>
      </w:r>
      <w:r w:rsidRPr="00BD1FB7">
        <w:rPr>
          <w:rFonts w:eastAsia="Times New Roman"/>
          <w:color w:val="000000"/>
        </w:rPr>
        <w:tab/>
        <w:t>(a)</w:t>
      </w:r>
      <w:r w:rsidRPr="00BD1FB7">
        <w:rPr>
          <w:rFonts w:eastAsia="Times New Roman"/>
          <w:color w:val="000000"/>
        </w:rPr>
        <w:tab/>
        <w:t>first, to students residing within the district including students currently enrolled in private schools and home schools, but who desire to attend a school outside their attendance zone;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BD1FB7">
        <w:rPr>
          <w:rFonts w:eastAsia="Times New Roman"/>
          <w:color w:val="000000"/>
        </w:rPr>
        <w:tab/>
      </w:r>
      <w:r w:rsidRPr="00BD1FB7">
        <w:rPr>
          <w:rFonts w:eastAsia="Times New Roman"/>
          <w:color w:val="000000"/>
        </w:rPr>
        <w:tab/>
      </w:r>
      <w:r w:rsidRPr="00BD1FB7">
        <w:rPr>
          <w:rFonts w:eastAsia="Times New Roman"/>
          <w:color w:val="000000"/>
        </w:rPr>
        <w:tab/>
        <w:t>(b)</w:t>
      </w:r>
      <w:r w:rsidRPr="00BD1FB7">
        <w:rPr>
          <w:rFonts w:eastAsia="Times New Roman"/>
          <w:color w:val="000000"/>
        </w:rPr>
        <w:tab/>
        <w:t>second, to returning students who continue to meet the requirements for the program or school;</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BD1FB7">
        <w:rPr>
          <w:rFonts w:eastAsia="Times New Roman"/>
          <w:color w:val="000000"/>
        </w:rPr>
        <w:tab/>
      </w:r>
      <w:r w:rsidRPr="00BD1FB7">
        <w:rPr>
          <w:rFonts w:eastAsia="Times New Roman"/>
          <w:color w:val="000000"/>
        </w:rPr>
        <w:tab/>
      </w:r>
      <w:r w:rsidRPr="00BD1FB7">
        <w:rPr>
          <w:rFonts w:eastAsia="Times New Roman"/>
          <w:color w:val="000000"/>
        </w:rPr>
        <w:tab/>
        <w:t>(c)</w:t>
      </w:r>
      <w:r w:rsidRPr="00BD1FB7">
        <w:rPr>
          <w:rFonts w:eastAsia="Times New Roman"/>
          <w:color w:val="000000"/>
        </w:rPr>
        <w:tab/>
        <w:t>third, to students who meet the requirements for the program or school and who seek to attend the designated school in the district’s feeder pattern;</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BD1FB7">
        <w:rPr>
          <w:rFonts w:eastAsia="Times New Roman"/>
          <w:color w:val="000000"/>
        </w:rPr>
        <w:tab/>
      </w:r>
      <w:r w:rsidRPr="00BD1FB7">
        <w:rPr>
          <w:rFonts w:eastAsia="Times New Roman"/>
          <w:color w:val="000000"/>
        </w:rPr>
        <w:tab/>
      </w:r>
      <w:r w:rsidRPr="00BD1FB7">
        <w:rPr>
          <w:rFonts w:eastAsia="Times New Roman"/>
          <w:color w:val="000000"/>
        </w:rPr>
        <w:tab/>
        <w:t>(d)</w:t>
      </w:r>
      <w:r w:rsidRPr="00BD1FB7">
        <w:rPr>
          <w:rFonts w:eastAsia="Times New Roman"/>
          <w:color w:val="000000"/>
        </w:rPr>
        <w:tab/>
        <w:t>fourth, to the siblings of students residing in the same household already enrolled in the school, provided that any siblings seeking priority under this section meet the requirements for the program or school; and</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BD1FB7">
        <w:rPr>
          <w:rFonts w:eastAsia="Times New Roman"/>
          <w:color w:val="000000"/>
        </w:rPr>
        <w:tab/>
      </w:r>
      <w:r w:rsidRPr="00BD1FB7">
        <w:rPr>
          <w:rFonts w:eastAsia="Times New Roman"/>
          <w:color w:val="000000"/>
        </w:rPr>
        <w:tab/>
      </w:r>
      <w:r w:rsidRPr="00BD1FB7">
        <w:rPr>
          <w:rFonts w:eastAsia="Times New Roman"/>
          <w:color w:val="000000"/>
        </w:rPr>
        <w:tab/>
        <w:t>(e)</w:t>
      </w:r>
      <w:r w:rsidRPr="00BD1FB7">
        <w:rPr>
          <w:rFonts w:eastAsia="Times New Roman"/>
          <w:color w:val="000000"/>
        </w:rPr>
        <w:tab/>
        <w:t>fifth, to students whose parent or legal guardian is assigned to the school as his or her primary place of employment.</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 xml:space="preserve">The policies must not have the purpose or effect of causing racial segregation in a school or the school district.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(D)</w:t>
      </w:r>
      <w:r w:rsidRPr="00BD1FB7">
        <w:rPr>
          <w:rFonts w:eastAsia="Times New Roman"/>
          <w:szCs w:val="20"/>
        </w:rPr>
        <w:tab/>
        <w:t xml:space="preserve">A receiving school only may deny resident students living outside the attendance zone or nonresident students permission to enroll for the following reasons: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(1)</w:t>
      </w:r>
      <w:r w:rsidRPr="00BD1FB7">
        <w:rPr>
          <w:rFonts w:eastAsia="Times New Roman"/>
          <w:szCs w:val="20"/>
        </w:rPr>
        <w:tab/>
        <w:t xml:space="preserve">there is a lack of capacity in the school or program requested;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(2)</w:t>
      </w:r>
      <w:r w:rsidRPr="00BD1FB7">
        <w:rPr>
          <w:rFonts w:eastAsia="Times New Roman"/>
          <w:szCs w:val="20"/>
        </w:rPr>
        <w:tab/>
        <w:t xml:space="preserve">the school requested does not offer the appropriate programs or is not structured or equipped with the necessary facilities to meet special needs of a student;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(3)</w:t>
      </w:r>
      <w:r w:rsidRPr="00BD1FB7">
        <w:rPr>
          <w:rFonts w:eastAsia="Times New Roman"/>
          <w:szCs w:val="20"/>
        </w:rPr>
        <w:tab/>
        <w:t xml:space="preserve">the student does not meet established eligibility criteria for participation in a particular program, including age requirements, course prerequisites, or required levels of performance;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(4)</w:t>
      </w:r>
      <w:r w:rsidRPr="00BD1FB7">
        <w:rPr>
          <w:rFonts w:eastAsia="Times New Roman"/>
          <w:szCs w:val="20"/>
        </w:rPr>
        <w:tab/>
        <w:t>a voluntary or court</w:t>
      </w:r>
      <w:r w:rsidRPr="00BD1FB7">
        <w:rPr>
          <w:rFonts w:eastAsia="Times New Roman"/>
          <w:szCs w:val="20"/>
        </w:rPr>
        <w:noBreakHyphen/>
        <w:t xml:space="preserve">ordered desegregation plan is in effect for the school district, and the denial is necessary in order to enable compliance with the desegregation plan; or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(5)</w:t>
      </w:r>
      <w:r w:rsidRPr="00BD1FB7">
        <w:rPr>
          <w:rFonts w:eastAsia="Times New Roman"/>
          <w:szCs w:val="20"/>
        </w:rPr>
        <w:tab/>
        <w:t xml:space="preserve">the student was suspended for ten days or more the previous school year, is expelled, has committed offenses that would result in expulsion, or is in the process of being suspended or expelled.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 xml:space="preserve">A denial of a request by the board of a receiving district is final. </w:t>
      </w:r>
    </w:p>
    <w:p w:rsidR="006E55E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t>(6)</w:t>
      </w:r>
      <w:r>
        <w:rPr>
          <w:rFonts w:eastAsia="Times New Roman"/>
          <w:snapToGrid w:val="0"/>
          <w:szCs w:val="20"/>
        </w:rPr>
        <w:tab/>
        <w:t>A student who qualifies to attend a school in a school district pursuant to Section 59</w:t>
      </w:r>
      <w:r>
        <w:rPr>
          <w:rFonts w:eastAsia="Times New Roman"/>
          <w:snapToGrid w:val="0"/>
          <w:szCs w:val="20"/>
        </w:rPr>
        <w:noBreakHyphen/>
        <w:t>63</w:t>
      </w:r>
      <w:r>
        <w:rPr>
          <w:rFonts w:eastAsia="Times New Roman"/>
          <w:snapToGrid w:val="0"/>
          <w:szCs w:val="20"/>
        </w:rPr>
        <w:noBreakHyphen/>
        <w:t xml:space="preserve">30, including the requirement that the student own real estate in the district that has an assessed value of three hundred dollars or more, may attend the schools </w:t>
      </w:r>
      <w:r>
        <w:rPr>
          <w:rFonts w:eastAsia="Times New Roman"/>
          <w:snapToGrid w:val="0"/>
          <w:szCs w:val="20"/>
        </w:rPr>
        <w:lastRenderedPageBreak/>
        <w:t xml:space="preserve">within the attendance zone where the property is located without having to apply for enrollment to schools in that attendance zone pursuant to this chapter and the receiving school may not deny the student permission to enroll at the school.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(E)</w:t>
      </w:r>
      <w:r w:rsidRPr="00BD1FB7">
        <w:rPr>
          <w:rFonts w:eastAsia="Times New Roman"/>
          <w:szCs w:val="20"/>
        </w:rPr>
        <w:tab/>
        <w:t>A sending school district only may deny resident students a transfer to a receiving school when the transfer would violate a voluntary or court</w:t>
      </w:r>
      <w:r w:rsidRPr="00BD1FB7">
        <w:rPr>
          <w:rFonts w:eastAsia="Times New Roman"/>
          <w:szCs w:val="20"/>
        </w:rPr>
        <w:noBreakHyphen/>
        <w:t>ordered desegregation plan in effect for that district.  However, if the percentage of students seeking to transfer to receiving schools exceeds twenty percent of the sending district’s enrollment, the sending district must concur with any additional students transferring from the school to attend a receiving school.  If a school’s transfer requests exceed twenty percent of its enrollment, the State Board of Education shall appoint an external review team to study educational programs in the school, identify factors contributing to the transfer requests of students, and make recommendations to the district.</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(F)</w:t>
      </w:r>
      <w:r w:rsidRPr="00BD1FB7">
        <w:rPr>
          <w:rFonts w:eastAsia="Times New Roman"/>
          <w:szCs w:val="20"/>
        </w:rPr>
        <w:tab/>
        <w:t xml:space="preserve">A district may not take any action to prohibit or prevent application by resident students to attend school in a nonresident school district or to attend another school within the resident district.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(G)</w:t>
      </w:r>
      <w:r w:rsidRPr="00BD1FB7">
        <w:rPr>
          <w:rFonts w:eastAsia="Times New Roman"/>
          <w:szCs w:val="20"/>
        </w:rPr>
        <w:tab/>
      </w:r>
      <w:r w:rsidRPr="00BD1FB7">
        <w:rPr>
          <w:rFonts w:eastAsia="Times New Roman"/>
          <w:color w:val="000000"/>
        </w:rPr>
        <w:t>Each school board of trustees of the school district annually shall submit capacity figures for each of its schools to the department.  Each district is responsible for annually posting school capacities on the district and school websites. Additionally, information regarding the current enrollment of the school and its percentage of capacity must be included.  This information must be provided to the department and posted on the district and school websites by January first of each school year as it relates to capacity capabilities for the following school year.</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80.</w:t>
      </w:r>
      <w:r w:rsidRPr="00BD1FB7">
        <w:rPr>
          <w:rFonts w:eastAsia="Times New Roman"/>
          <w:szCs w:val="20"/>
        </w:rPr>
        <w:tab/>
        <w:t>(A)</w:t>
      </w:r>
      <w:r w:rsidRPr="00BD1FB7">
        <w:rPr>
          <w:rFonts w:eastAsia="Times New Roman"/>
          <w:szCs w:val="20"/>
        </w:rPr>
        <w:tab/>
        <w:t xml:space="preserve">A student approved for enrollment in a nonresident district school or program pursuant to this chapter is entitled to remain enrolled in that district until completion of the final grade within that school without being required to submit annual applications. Before completion of that final grade of the school, application for enrollment in the feeder school must be submitted pursuant to this chapter.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w:t>
      </w:r>
      <w:r w:rsidRPr="00BD1FB7">
        <w:rPr>
          <w:rFonts w:eastAsia="Times New Roman"/>
          <w:szCs w:val="20"/>
        </w:rPr>
        <w:tab/>
        <w:t xml:space="preserve">A receiving district may terminate the enrollment of a nonresident student enrolled pursuant to this chapter at the end of a school year if the: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(1)</w:t>
      </w:r>
      <w:r w:rsidRPr="00BD1FB7">
        <w:rPr>
          <w:rFonts w:eastAsia="Times New Roman"/>
          <w:szCs w:val="20"/>
        </w:rPr>
        <w:tab/>
        <w:t xml:space="preserve">student meets the definition of a habitual truant;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(2)</w:t>
      </w:r>
      <w:r w:rsidRPr="00BD1FB7">
        <w:rPr>
          <w:rFonts w:eastAsia="Times New Roman"/>
          <w:szCs w:val="20"/>
        </w:rPr>
        <w:tab/>
        <w:t xml:space="preserve">student fails to comply with requirements for attending school or class;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lastRenderedPageBreak/>
        <w:tab/>
      </w:r>
      <w:r w:rsidRPr="00BD1FB7">
        <w:rPr>
          <w:rFonts w:eastAsia="Times New Roman"/>
          <w:szCs w:val="20"/>
        </w:rPr>
        <w:tab/>
        <w:t>(3)</w:t>
      </w:r>
      <w:r w:rsidRPr="00BD1FB7">
        <w:rPr>
          <w:rFonts w:eastAsia="Times New Roman"/>
          <w:szCs w:val="20"/>
        </w:rPr>
        <w:tab/>
        <w:t xml:space="preserve">student has committed violations of the receiving district’s student code of conduct resulting in ten or more days of suspension; or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(4)</w:t>
      </w:r>
      <w:r w:rsidRPr="00BD1FB7">
        <w:rPr>
          <w:rFonts w:eastAsia="Times New Roman"/>
          <w:szCs w:val="20"/>
        </w:rPr>
        <w:tab/>
        <w:t xml:space="preserve">board of the district of residence, the board of the receiving district, and the parent having submitted the application for enrollment agree for any reason to terminate the enrollment.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90.</w:t>
      </w:r>
      <w:r w:rsidRPr="00BD1FB7">
        <w:rPr>
          <w:rFonts w:eastAsia="Times New Roman"/>
          <w:szCs w:val="20"/>
        </w:rPr>
        <w:tab/>
      </w:r>
      <w:r w:rsidRPr="00BD1FB7">
        <w:rPr>
          <w:rFonts w:eastAsia="Times New Roman"/>
          <w:bCs/>
          <w:szCs w:val="20"/>
        </w:rPr>
        <w:t>(A)</w:t>
      </w:r>
      <w:r w:rsidRPr="00BD1FB7">
        <w:rPr>
          <w:rFonts w:eastAsia="Times New Roman"/>
          <w:bCs/>
          <w:szCs w:val="20"/>
        </w:rPr>
        <w:tab/>
        <w:t xml:space="preserve">The parent is responsible for transporting the student to and from the school. However, nothing in this chapter shall be construed as prohibiting resident districts or the receiving districts from providing bus transportation on any approved route and districts are encouraged to collaborate in the development of transportation plans for students whose parents are unable to provide transportation.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bCs/>
          <w:szCs w:val="20"/>
        </w:rPr>
        <w:tab/>
        <w:t>(B)</w:t>
      </w:r>
      <w:r w:rsidRPr="00BD1FB7">
        <w:rPr>
          <w:rFonts w:eastAsia="Times New Roman"/>
          <w:bCs/>
          <w:szCs w:val="20"/>
        </w:rPr>
        <w:tab/>
        <w:t>Parents or guardians of students attending a receiving school district, whose family income is one hundred eighty</w:t>
      </w:r>
      <w:r w:rsidRPr="00BD1FB7">
        <w:rPr>
          <w:rFonts w:eastAsia="Times New Roman"/>
          <w:bCs/>
          <w:szCs w:val="20"/>
        </w:rPr>
        <w:noBreakHyphen/>
        <w:t>five percent or less of the federal poverty guidelines as promulgated annually by the United States Department of Health and Human Services, making them eligible for free or reduced</w:t>
      </w:r>
      <w:r w:rsidRPr="00BD1FB7">
        <w:rPr>
          <w:rFonts w:eastAsia="Times New Roman"/>
          <w:bCs/>
          <w:szCs w:val="20"/>
        </w:rPr>
        <w:noBreakHyphen/>
        <w:t>price lunches, shall be eligible for transportation services provided by the school district or shall be eligible for transportation reimbursement from the district with funds appropriated by the General Assembly for that purpose. Should the General Assembly fail to appropriate funds for this purpose, receiving school districts shall be under no obligation.</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bCs/>
          <w:szCs w:val="20"/>
        </w:rPr>
        <w:tab/>
        <w:t>(C)</w:t>
      </w:r>
      <w:r w:rsidRPr="00BD1FB7">
        <w:rPr>
          <w:rFonts w:eastAsia="Times New Roman"/>
          <w:bCs/>
          <w:szCs w:val="20"/>
        </w:rPr>
        <w:tab/>
        <w:t>With funds appropriated by the General Assembly, the department shall reimburse receiving school districts for transportation expenses as provided in subsection (B) of this section.  The rate of reimbursement shall be pursuant to State Board of Education regulations.</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100.</w:t>
      </w:r>
      <w:r w:rsidRPr="00BD1FB7">
        <w:rPr>
          <w:rFonts w:eastAsia="Times New Roman"/>
          <w:szCs w:val="20"/>
        </w:rPr>
        <w:tab/>
        <w:t>(A)</w:t>
      </w:r>
      <w:r w:rsidRPr="00BD1FB7">
        <w:rPr>
          <w:rFonts w:eastAsia="Times New Roman"/>
          <w:szCs w:val="20"/>
        </w:rPr>
        <w:tab/>
      </w:r>
      <w:r w:rsidRPr="00BD1FB7">
        <w:rPr>
          <w:rFonts w:eastAsia="Times New Roman"/>
          <w:color w:val="000000"/>
        </w:rPr>
        <w:t xml:space="preserve">A student enrolled in a receiving district pursuant to this chapter must be included in the average daily membership of the receiving district for the purposes relating to the allocation of all state and federal education funding and must not be included in the average daily membership of the district of residence for these purposes.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color w:val="000000"/>
        </w:rPr>
        <w:tab/>
        <w:t>(B)</w:t>
      </w:r>
      <w:r w:rsidRPr="00BD1FB7">
        <w:rPr>
          <w:rFonts w:eastAsia="Times New Roman"/>
          <w:color w:val="000000"/>
        </w:rPr>
        <w:tab/>
        <w:t>Districts shall receive one hundred percent of the base student cost from the State for nonresident students enrolled pursuant to this chapter.</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110.</w:t>
      </w:r>
      <w:r w:rsidRPr="00BD1FB7">
        <w:rPr>
          <w:rFonts w:eastAsia="Times New Roman"/>
          <w:szCs w:val="20"/>
        </w:rPr>
        <w:tab/>
      </w:r>
      <w:r w:rsidRPr="00BD1FB7">
        <w:rPr>
          <w:rFonts w:eastAsia="Times New Roman"/>
          <w:szCs w:val="20"/>
        </w:rPr>
        <w:tab/>
      </w:r>
      <w:r w:rsidRPr="00BD1FB7">
        <w:rPr>
          <w:rFonts w:eastAsia="Times New Roman"/>
          <w:color w:val="000000"/>
        </w:rPr>
        <w:t>(A)</w:t>
      </w:r>
      <w:r w:rsidRPr="00BD1FB7">
        <w:rPr>
          <w:rFonts w:eastAsia="Times New Roman"/>
          <w:color w:val="000000"/>
        </w:rPr>
        <w:tab/>
        <w:t xml:space="preserve">A student enrolled in a receiving school pursuant to this chapter is ineligible to participate in </w:t>
      </w:r>
      <w:r w:rsidRPr="00BD1FB7">
        <w:rPr>
          <w:rFonts w:eastAsia="Times New Roman"/>
          <w:color w:val="000000"/>
        </w:rPr>
        <w:lastRenderedPageBreak/>
        <w:t xml:space="preserve">interscholastic athletic contests and competitions for one calendar year after the student’s date of enrollment in the receiving school or, if the student makes subsequent transfers, for one calendar year from the date of each transfer. This restriction does not apply to a student’s initial transfer from his district of residence if the sport in which the student wishes to participate is not offered in the student’s previous school.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color w:val="000000"/>
        </w:rPr>
        <w:tab/>
        <w:t>(B)</w:t>
      </w:r>
      <w:r w:rsidRPr="00BD1FB7">
        <w:rPr>
          <w:rFonts w:eastAsia="Times New Roman"/>
          <w:color w:val="000000"/>
        </w:rPr>
        <w:tab/>
        <w:t>A student may not gain eligibility to participate in extracurricular activities in violation of policies governing eligibility as a result of an enrollment transfer to another school.</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120.</w:t>
      </w:r>
      <w:r w:rsidRPr="00BD1FB7">
        <w:rPr>
          <w:rFonts w:eastAsia="Times New Roman"/>
          <w:szCs w:val="20"/>
        </w:rPr>
        <w:tab/>
        <w:t>(A)</w:t>
      </w:r>
      <w:r w:rsidRPr="00BD1FB7">
        <w:rPr>
          <w:rFonts w:eastAsia="Times New Roman"/>
          <w:szCs w:val="20"/>
        </w:rPr>
        <w:tab/>
        <w:t xml:space="preserve">A receiving district shall accept credits for a course completed in another accredited school and shall apply those credits toward the student’s requirements for graduation.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w:t>
      </w:r>
      <w:r w:rsidRPr="00BD1FB7">
        <w:rPr>
          <w:rFonts w:eastAsia="Times New Roman"/>
          <w:szCs w:val="20"/>
        </w:rPr>
        <w:tab/>
        <w:t xml:space="preserve">The receiving district shall award a diploma to a nonresident student if the student meets all state requirements for graduation.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130.</w:t>
      </w:r>
      <w:r w:rsidRPr="00BD1FB7">
        <w:rPr>
          <w:rFonts w:eastAsia="Times New Roman"/>
          <w:szCs w:val="20"/>
        </w:rPr>
        <w:tab/>
        <w:t>Open enrollment does not preclude a school district from contracting with other school districts, educational service providers, or other state</w:t>
      </w:r>
      <w:r w:rsidRPr="00BD1FB7">
        <w:rPr>
          <w:rFonts w:eastAsia="Times New Roman"/>
          <w:szCs w:val="20"/>
        </w:rPr>
        <w:noBreakHyphen/>
        <w:t>approved entities for the provision of services. A child with a disability receiving services from another district pursuant to contract due to lack of appropriate programming in his resident school district is not eligible to transfer as an open enrollment student into the district currently providing services, but is eligible to transfer as an open enrollment student into another district that has an appropriate program and has not reached enrollment capacity.</w:t>
      </w:r>
    </w:p>
    <w:p w:rsidR="006E55E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Default="00D85C70"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6E55E7">
        <w:rPr>
          <w:rFonts w:eastAsia="Times New Roman"/>
          <w:snapToGrid w:val="0"/>
          <w:szCs w:val="20"/>
        </w:rPr>
        <w:t>Section 59</w:t>
      </w:r>
      <w:r w:rsidR="006E55E7">
        <w:rPr>
          <w:rFonts w:eastAsia="Times New Roman"/>
          <w:snapToGrid w:val="0"/>
          <w:szCs w:val="20"/>
        </w:rPr>
        <w:noBreakHyphen/>
        <w:t>62</w:t>
      </w:r>
      <w:r w:rsidR="006E55E7">
        <w:rPr>
          <w:rFonts w:eastAsia="Times New Roman"/>
          <w:snapToGrid w:val="0"/>
          <w:szCs w:val="20"/>
        </w:rPr>
        <w:noBreakHyphen/>
        <w:t>135.</w:t>
      </w:r>
      <w:r w:rsidR="006E55E7">
        <w:rPr>
          <w:rFonts w:eastAsia="Times New Roman"/>
          <w:snapToGrid w:val="0"/>
          <w:szCs w:val="20"/>
        </w:rPr>
        <w:tab/>
        <w:t>(A)</w:t>
      </w:r>
      <w:r w:rsidR="006E55E7">
        <w:rPr>
          <w:rFonts w:eastAsia="Times New Roman"/>
          <w:snapToGrid w:val="0"/>
          <w:szCs w:val="20"/>
        </w:rPr>
        <w:tab/>
        <w:t xml:space="preserve">A school district may apply to the State Board of Education for a waiver to phase in the implementation of the </w:t>
      </w:r>
      <w:r w:rsidR="006E55E7" w:rsidRPr="00174F3C">
        <w:rPr>
          <w:rFonts w:eastAsia="Times New Roman"/>
          <w:snapToGrid w:val="0"/>
          <w:szCs w:val="20"/>
        </w:rPr>
        <w:t>‘</w:t>
      </w:r>
      <w:r w:rsidR="006E55E7">
        <w:rPr>
          <w:rFonts w:eastAsia="Times New Roman"/>
          <w:snapToGrid w:val="0"/>
          <w:szCs w:val="20"/>
        </w:rPr>
        <w:t>School District Choice and Open Enrollment Programs</w:t>
      </w:r>
      <w:r w:rsidR="006E55E7" w:rsidRPr="00174F3C">
        <w:rPr>
          <w:rFonts w:eastAsia="Times New Roman"/>
          <w:snapToGrid w:val="0"/>
          <w:szCs w:val="20"/>
        </w:rPr>
        <w:t>’</w:t>
      </w:r>
      <w:r w:rsidR="006E55E7">
        <w:rPr>
          <w:rFonts w:eastAsia="Times New Roman"/>
          <w:snapToGrid w:val="0"/>
          <w:szCs w:val="20"/>
        </w:rPr>
        <w:t xml:space="preserve"> required by this chapter on an alternate schedule proposed by the district other than as required by this chapter.  The State Board of Education may grant the waiver request upon good cause shown.</w:t>
      </w:r>
    </w:p>
    <w:p w:rsidR="006E55E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(B)</w:t>
      </w:r>
      <w:r>
        <w:rPr>
          <w:rFonts w:eastAsia="Times New Roman"/>
          <w:snapToGrid w:val="0"/>
          <w:szCs w:val="20"/>
        </w:rPr>
        <w:tab/>
        <w:t>A school district also may apply to the State Board of Education, separately from the waiver authorized by subsection (A), for a waiver of the requirement in Section 59</w:t>
      </w:r>
      <w:r>
        <w:rPr>
          <w:rFonts w:eastAsia="Times New Roman"/>
          <w:snapToGrid w:val="0"/>
          <w:szCs w:val="20"/>
        </w:rPr>
        <w:noBreakHyphen/>
        <w:t>62</w:t>
      </w:r>
      <w:r>
        <w:rPr>
          <w:rFonts w:eastAsia="Times New Roman"/>
          <w:snapToGrid w:val="0"/>
          <w:szCs w:val="20"/>
        </w:rPr>
        <w:noBreakHyphen/>
        <w:t>70 that the district accept students at a particular school residing outside the school</w:t>
      </w:r>
      <w:r w:rsidRPr="00174F3C">
        <w:rPr>
          <w:rFonts w:eastAsia="Times New Roman"/>
          <w:snapToGrid w:val="0"/>
          <w:szCs w:val="20"/>
        </w:rPr>
        <w:t>’</w:t>
      </w:r>
      <w:r>
        <w:rPr>
          <w:rFonts w:eastAsia="Times New Roman"/>
          <w:snapToGrid w:val="0"/>
          <w:szCs w:val="20"/>
        </w:rPr>
        <w:t>s attendance area not in excess of three percent of the school</w:t>
      </w:r>
      <w:r w:rsidRPr="00174F3C">
        <w:rPr>
          <w:rFonts w:eastAsia="Times New Roman"/>
          <w:snapToGrid w:val="0"/>
          <w:szCs w:val="20"/>
        </w:rPr>
        <w:t>’</w:t>
      </w:r>
      <w:r>
        <w:rPr>
          <w:rFonts w:eastAsia="Times New Roman"/>
          <w:snapToGrid w:val="0"/>
          <w:szCs w:val="20"/>
        </w:rPr>
        <w:t>s highest average daily membership in any year over the preceding ten</w:t>
      </w:r>
      <w:r>
        <w:rPr>
          <w:rFonts w:eastAsia="Times New Roman"/>
          <w:snapToGrid w:val="0"/>
          <w:szCs w:val="20"/>
        </w:rPr>
        <w:noBreakHyphen/>
        <w:t>year period with this requirement phased in at a yearly increase of one percent of the school</w:t>
      </w:r>
      <w:r w:rsidRPr="00174F3C">
        <w:rPr>
          <w:rFonts w:eastAsia="Times New Roman"/>
          <w:snapToGrid w:val="0"/>
          <w:szCs w:val="20"/>
        </w:rPr>
        <w:t>’</w:t>
      </w:r>
      <w:r>
        <w:rPr>
          <w:rFonts w:eastAsia="Times New Roman"/>
          <w:snapToGrid w:val="0"/>
          <w:szCs w:val="20"/>
        </w:rPr>
        <w:t>s previous year</w:t>
      </w:r>
      <w:r w:rsidRPr="00174F3C">
        <w:rPr>
          <w:rFonts w:eastAsia="Times New Roman"/>
          <w:snapToGrid w:val="0"/>
          <w:szCs w:val="20"/>
        </w:rPr>
        <w:t>’</w:t>
      </w:r>
      <w:r>
        <w:rPr>
          <w:rFonts w:eastAsia="Times New Roman"/>
          <w:snapToGrid w:val="0"/>
          <w:szCs w:val="20"/>
        </w:rPr>
        <w:t xml:space="preserve">s </w:t>
      </w:r>
      <w:r>
        <w:rPr>
          <w:rFonts w:eastAsia="Times New Roman"/>
          <w:snapToGrid w:val="0"/>
          <w:szCs w:val="20"/>
        </w:rPr>
        <w:lastRenderedPageBreak/>
        <w:t>average daily membership.  The State Board of Education may grant the waiver request upon good cause shown.</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napToGrid w:val="0"/>
          <w:szCs w:val="20"/>
        </w:rPr>
        <w:tab/>
        <w:t>(C)</w:t>
      </w:r>
      <w:r>
        <w:rPr>
          <w:rFonts w:eastAsia="Times New Roman"/>
          <w:snapToGrid w:val="0"/>
          <w:szCs w:val="20"/>
        </w:rPr>
        <w:tab/>
        <w:t>In addition to the other waiver requests permitted by this section, a school district in the process of consolidation may request a waiver from all requirements of this chapter until the consolidation is completed.  Thereafter, the provisions of this chapter then shall apply to the district in the manner specified in the waiver request.  The State Board of Education may grant the waiver request upon good cause shown.</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140.</w:t>
      </w:r>
      <w:r w:rsidRPr="00BD1FB7">
        <w:rPr>
          <w:rFonts w:eastAsia="Times New Roman"/>
          <w:szCs w:val="20"/>
        </w:rPr>
        <w:tab/>
        <w:t xml:space="preserve">The department shall conduct an annual survey of districts to determine the number of students participating in the </w:t>
      </w:r>
      <w:r w:rsidR="00D85C70">
        <w:rPr>
          <w:rFonts w:eastAsia="Times New Roman"/>
          <w:szCs w:val="20"/>
        </w:rPr>
        <w:t>Open E</w:t>
      </w:r>
      <w:r w:rsidRPr="00BD1FB7">
        <w:rPr>
          <w:rFonts w:eastAsia="Times New Roman"/>
          <w:szCs w:val="20"/>
        </w:rPr>
        <w:t xml:space="preserve">nrollment </w:t>
      </w:r>
      <w:r w:rsidR="00D85C70">
        <w:rPr>
          <w:rFonts w:eastAsia="Times New Roman"/>
          <w:szCs w:val="20"/>
        </w:rPr>
        <w:t>P</w:t>
      </w:r>
      <w:r w:rsidRPr="00BD1FB7">
        <w:rPr>
          <w:rFonts w:eastAsia="Times New Roman"/>
          <w:szCs w:val="20"/>
        </w:rPr>
        <w:t xml:space="preserve">rogram. The participants must be reported according to the number of resident students enrolling in a school other than the school in their attendance zone, the number of nonresident students enrolled, the number of denied applications, reasons for denial, and changes to the racial composition and poverty level of the districts and schools enrolling students. The department annually shall report these findings to the General Assembly annually by January first.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150.</w:t>
      </w:r>
      <w:r w:rsidRPr="00BD1FB7">
        <w:rPr>
          <w:rFonts w:eastAsia="Times New Roman"/>
          <w:szCs w:val="20"/>
        </w:rPr>
        <w:tab/>
      </w:r>
      <w:r w:rsidRPr="00BD1FB7">
        <w:rPr>
          <w:rFonts w:eastAsia="Times New Roman"/>
          <w:color w:val="000000"/>
        </w:rPr>
        <w:t>Implementation of this chapter each fiscal year is contingent upon the appropriation of adequate funding  as documented by a fiscal impact statement provided by the Office of State Budget of the State Budget and Control Board to the General Assembly and the department on or before April fifteenth of each year estimating the cost of implementation for the ensuing fiscal year; provided that for fiscal year 2012</w:t>
      </w:r>
      <w:r w:rsidRPr="00BD1FB7">
        <w:rPr>
          <w:rFonts w:eastAsia="Times New Roman"/>
          <w:color w:val="000000"/>
        </w:rPr>
        <w:noBreakHyphen/>
        <w:t>2013 the cost of implementation shall be as determined in the fiscal impact statement of the act enacting this chapter.  There is no mandatory financial obligation to public schools or public school districts with respect to this chapter if state funding is not appropriated for each fiscal year of implementation as provided for in the annual fiscal impact statement of the Office of the State Budget of the State Budget and Control Board provided for above.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160.</w:t>
      </w:r>
      <w:r w:rsidRPr="00BD1FB7">
        <w:rPr>
          <w:rFonts w:eastAsia="Times New Roman"/>
          <w:szCs w:val="20"/>
        </w:rPr>
        <w:tab/>
        <w:t xml:space="preserve">If any section, subsection, paragraph, subparagraph, sentence, clause, phrase, or word of this chapter is for any reason held to be unconstitutional or invalid, such holding shall not affect the constitutionality or validity of the remaining portions of this chapter, the General Assembly hereby declaring that it would have passed this chapter, and each and every section, subsection, paragraph, subparagraph, sentence, clause, phrase, and </w:t>
      </w:r>
      <w:r w:rsidRPr="00BD1FB7">
        <w:rPr>
          <w:rFonts w:eastAsia="Times New Roman"/>
          <w:szCs w:val="20"/>
        </w:rPr>
        <w:lastRenderedPageBreak/>
        <w:t>word thereof, irrespective of the fact that any one or more other sections, subsections, paragraphs, subparagraphs, sentences, clauses, phrases, or words hereof may be declared to be unconstitutional, invalid, or otherwise ineffective.”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D1FB7">
        <w:rPr>
          <w:rFonts w:eastAsia="Times New Roman"/>
        </w:rPr>
        <w:t>SECTION</w:t>
      </w:r>
      <w:r w:rsidRPr="00BD1FB7">
        <w:rPr>
          <w:rFonts w:eastAsia="Times New Roman"/>
        </w:rPr>
        <w:tab/>
        <w:t>2.</w:t>
      </w:r>
      <w:r w:rsidRPr="00BD1FB7">
        <w:rPr>
          <w:rFonts w:eastAsia="Times New Roman"/>
        </w:rPr>
        <w:tab/>
        <w:t xml:space="preserve">This act takes effect upon approval by the Governor. </w:t>
      </w:r>
    </w:p>
    <w:p w:rsidR="00382E2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82E21" w:rsidRDefault="00382E21" w:rsidP="00BA54B9">
      <w:pPr>
        <w:suppressAutoHyphens/>
        <w:jc w:val="both"/>
        <w:rPr>
          <w:rFonts w:eastAsia="Times New Roman"/>
        </w:rPr>
      </w:pPr>
    </w:p>
    <w:sectPr w:rsidR="00382E21" w:rsidSect="006B09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29E0" w:rsidRDefault="008F29E0" w:rsidP="00522CE0">
      <w:r>
        <w:separator/>
      </w:r>
    </w:p>
  </w:endnote>
  <w:endnote w:type="continuationSeparator" w:id="0">
    <w:p w:rsidR="008F29E0" w:rsidRDefault="008F29E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C9AF46-9DE3-400E-8C90-8670924AF3D6}"/>
    <w:embedBold r:id="rId2" w:fontKey="{C969CB3D-7587-44D5-B075-B05AF27DE315}"/>
    <w:embedBoldItalic r:id="rId3" w:fontKey="{69B0DB89-878C-42EF-8E1B-2ACC59DCB390}"/>
  </w:font>
  <w:font w:name="Calibri">
    <w:panose1 w:val="020F0502020204030204"/>
    <w:charset w:val="00"/>
    <w:family w:val="swiss"/>
    <w:pitch w:val="variable"/>
    <w:sig w:usb0="A00002EF" w:usb1="4000207B" w:usb2="00000000" w:usb3="00000000" w:csb0="0000009F" w:csb1="00000000"/>
    <w:embedRegular r:id="rId4" w:fontKey="{197B4C11-874E-4E9C-8E92-FA02BD3583C5}"/>
  </w:font>
  <w:font w:name="Cambria">
    <w:panose1 w:val="02040503050406030204"/>
    <w:charset w:val="00"/>
    <w:family w:val="roman"/>
    <w:pitch w:val="variable"/>
    <w:sig w:usb0="A00002EF" w:usb1="4000004B" w:usb2="00000000" w:usb3="00000000" w:csb0="0000009F" w:csb1="00000000"/>
    <w:embedRegular r:id="rId5" w:fontKey="{90CE86F5-65E0-4557-9F70-652A75C22D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DD1" w:rsidRPr="00382E21" w:rsidRDefault="00382E21" w:rsidP="00382E21">
    <w:pPr>
      <w:pStyle w:val="Footer"/>
      <w:tabs>
        <w:tab w:val="clear" w:pos="4680"/>
        <w:tab w:val="clear" w:pos="9360"/>
        <w:tab w:val="center" w:pos="2995"/>
      </w:tabs>
      <w:spacing w:before="120"/>
    </w:pPr>
    <w:r>
      <w:t>[1267</w:t>
    </w:r>
    <w:r w:rsidR="006B0939">
      <w:t>-</w:t>
    </w:r>
    <w:fldSimple w:instr=" PAGE  \* MERGEFORMAT ">
      <w:r w:rsidR="00BA54B9">
        <w:rPr>
          <w:noProof/>
        </w:rPr>
        <w:t>1</w:t>
      </w:r>
    </w:fldSimple>
    <w:r w:rsidR="006B093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939" w:rsidRPr="00382E21" w:rsidRDefault="006B0939" w:rsidP="00382E21">
    <w:pPr>
      <w:pStyle w:val="Footer"/>
      <w:tabs>
        <w:tab w:val="clear" w:pos="4680"/>
        <w:tab w:val="clear" w:pos="9360"/>
        <w:tab w:val="center" w:pos="2995"/>
      </w:tabs>
      <w:spacing w:before="120"/>
    </w:pPr>
    <w:r>
      <w:t>[1267]</w:t>
    </w:r>
    <w:r>
      <w:tab/>
    </w:r>
    <w:fldSimple w:instr=" PAGE  \* MERGEFORMAT ">
      <w:r w:rsidR="00BA54B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29E0" w:rsidRDefault="008F29E0" w:rsidP="00522CE0">
      <w:r>
        <w:separator/>
      </w:r>
    </w:p>
  </w:footnote>
  <w:footnote w:type="continuationSeparator" w:id="0">
    <w:p w:rsidR="008F29E0" w:rsidRDefault="008F29E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7SCHO.REM.JEC"/>
    <w:docVar w:name="CoverAttorneyInitials" w:val="REM"/>
    <w:docVar w:name="CoverAttorneyLastName" w:val="Maldonado"/>
    <w:docVar w:name="CoverBillType" w:val="b"/>
    <w:docVar w:name="CoverSenator" w:val="JEC"/>
    <w:docVar w:name="dvBillNumber" w:val="1267"/>
    <w:docVar w:name="dvBillNumberPrefix" w:val="S. "/>
    <w:docVar w:name="dvOriginalBody" w:val="Senate"/>
    <w:docVar w:name="fulldraftpath" w:val="L:\S-RES\JEC\007SCHO.REM.JEC.DOCX"/>
    <w:docVar w:name="NameofBody" w:val="S"/>
    <w:docVar w:name="vgroup2" w:val="S-RES"/>
  </w:docVars>
  <w:rsids>
    <w:rsidRoot w:val="00120B6E"/>
    <w:rsid w:val="00042AC1"/>
    <w:rsid w:val="00046516"/>
    <w:rsid w:val="0007601D"/>
    <w:rsid w:val="000B0720"/>
    <w:rsid w:val="000B505E"/>
    <w:rsid w:val="000B5EAF"/>
    <w:rsid w:val="00120B6E"/>
    <w:rsid w:val="00155508"/>
    <w:rsid w:val="00170561"/>
    <w:rsid w:val="00186AC9"/>
    <w:rsid w:val="00197DF1"/>
    <w:rsid w:val="001B3DD9"/>
    <w:rsid w:val="001B7E5D"/>
    <w:rsid w:val="001D1C2B"/>
    <w:rsid w:val="001D3BAC"/>
    <w:rsid w:val="00207ADF"/>
    <w:rsid w:val="00245C4E"/>
    <w:rsid w:val="00266D09"/>
    <w:rsid w:val="00294D65"/>
    <w:rsid w:val="002C1321"/>
    <w:rsid w:val="002C5896"/>
    <w:rsid w:val="002D3BED"/>
    <w:rsid w:val="00306971"/>
    <w:rsid w:val="00307C2B"/>
    <w:rsid w:val="00315060"/>
    <w:rsid w:val="00382E21"/>
    <w:rsid w:val="00383247"/>
    <w:rsid w:val="003D6E2B"/>
    <w:rsid w:val="003E7597"/>
    <w:rsid w:val="0043390E"/>
    <w:rsid w:val="00450668"/>
    <w:rsid w:val="004608D3"/>
    <w:rsid w:val="00466E1A"/>
    <w:rsid w:val="0049383B"/>
    <w:rsid w:val="004952FA"/>
    <w:rsid w:val="004B6A22"/>
    <w:rsid w:val="004D7F37"/>
    <w:rsid w:val="00522CE0"/>
    <w:rsid w:val="00565148"/>
    <w:rsid w:val="00576C9C"/>
    <w:rsid w:val="00593361"/>
    <w:rsid w:val="005A413B"/>
    <w:rsid w:val="005A5017"/>
    <w:rsid w:val="005A648C"/>
    <w:rsid w:val="005F1745"/>
    <w:rsid w:val="006B0939"/>
    <w:rsid w:val="006C74EA"/>
    <w:rsid w:val="006E55E7"/>
    <w:rsid w:val="00701921"/>
    <w:rsid w:val="00706A5C"/>
    <w:rsid w:val="00720D40"/>
    <w:rsid w:val="007318D4"/>
    <w:rsid w:val="00757782"/>
    <w:rsid w:val="00757937"/>
    <w:rsid w:val="00765784"/>
    <w:rsid w:val="007A4390"/>
    <w:rsid w:val="007E5CB7"/>
    <w:rsid w:val="007F3070"/>
    <w:rsid w:val="008314D2"/>
    <w:rsid w:val="008653F2"/>
    <w:rsid w:val="00880853"/>
    <w:rsid w:val="00884626"/>
    <w:rsid w:val="008B2F42"/>
    <w:rsid w:val="008B3948"/>
    <w:rsid w:val="008C3697"/>
    <w:rsid w:val="008E185F"/>
    <w:rsid w:val="008E7F27"/>
    <w:rsid w:val="008F023B"/>
    <w:rsid w:val="008F29E0"/>
    <w:rsid w:val="00904E16"/>
    <w:rsid w:val="009162B3"/>
    <w:rsid w:val="00927C62"/>
    <w:rsid w:val="00983951"/>
    <w:rsid w:val="00984124"/>
    <w:rsid w:val="00984640"/>
    <w:rsid w:val="00995C37"/>
    <w:rsid w:val="009C118A"/>
    <w:rsid w:val="009D7ED9"/>
    <w:rsid w:val="00A02011"/>
    <w:rsid w:val="00A4011E"/>
    <w:rsid w:val="00A86015"/>
    <w:rsid w:val="00A9594E"/>
    <w:rsid w:val="00AE59C8"/>
    <w:rsid w:val="00B10098"/>
    <w:rsid w:val="00B46DD1"/>
    <w:rsid w:val="00B5790D"/>
    <w:rsid w:val="00B945C5"/>
    <w:rsid w:val="00BA20EA"/>
    <w:rsid w:val="00BA54B9"/>
    <w:rsid w:val="00BB4F66"/>
    <w:rsid w:val="00BB5AFC"/>
    <w:rsid w:val="00BC0A56"/>
    <w:rsid w:val="00C05999"/>
    <w:rsid w:val="00C45366"/>
    <w:rsid w:val="00C57023"/>
    <w:rsid w:val="00C74052"/>
    <w:rsid w:val="00CB187A"/>
    <w:rsid w:val="00CC0EC7"/>
    <w:rsid w:val="00D1088B"/>
    <w:rsid w:val="00D14DE6"/>
    <w:rsid w:val="00D156D2"/>
    <w:rsid w:val="00D85C70"/>
    <w:rsid w:val="00D86943"/>
    <w:rsid w:val="00DA47B9"/>
    <w:rsid w:val="00E058D3"/>
    <w:rsid w:val="00E76AD9"/>
    <w:rsid w:val="00E815D4"/>
    <w:rsid w:val="00E91E2F"/>
    <w:rsid w:val="00EA3546"/>
    <w:rsid w:val="00EB47AE"/>
    <w:rsid w:val="00EC34E1"/>
    <w:rsid w:val="00F0234A"/>
    <w:rsid w:val="00F52959"/>
    <w:rsid w:val="00F55884"/>
    <w:rsid w:val="00FC0D36"/>
    <w:rsid w:val="00FD0520"/>
    <w:rsid w:val="00FE286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FE286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E6FBE-C552-4786-982A-8951158B1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4606</Words>
  <Characters>26260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brentwalling</cp:lastModifiedBy>
  <cp:revision>2</cp:revision>
  <cp:lastPrinted>2012-04-18T21:18:00Z</cp:lastPrinted>
  <dcterms:created xsi:type="dcterms:W3CDTF">2012-04-26T20:21:00Z</dcterms:created>
  <dcterms:modified xsi:type="dcterms:W3CDTF">2012-04-26T20:21:00Z</dcterms:modified>
</cp:coreProperties>
</file>