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C65" w:rsidRDefault="000D4C65" w:rsidP="000D4C65">
      <w:pPr>
        <w:tabs>
          <w:tab w:val="right" w:pos="5933"/>
        </w:tabs>
        <w:suppressAutoHyphens/>
        <w:jc w:val="both"/>
        <w:rPr>
          <w:rFonts w:eastAsia="Times New Roman"/>
        </w:rPr>
      </w:pPr>
      <w:r>
        <w:rPr>
          <w:rFonts w:eastAsia="Times New Roman"/>
        </w:rPr>
        <w:t>AMENDED</w:t>
      </w:r>
    </w:p>
    <w:p w:rsidR="000D4C65" w:rsidRDefault="000D4C65" w:rsidP="000D4C65">
      <w:pPr>
        <w:tabs>
          <w:tab w:val="right" w:pos="5933"/>
        </w:tabs>
        <w:suppressAutoHyphens/>
        <w:jc w:val="both"/>
        <w:rPr>
          <w:rFonts w:eastAsia="Times New Roman"/>
        </w:rPr>
      </w:pPr>
      <w:r>
        <w:rPr>
          <w:rFonts w:eastAsia="Times New Roman"/>
        </w:rPr>
        <w:t>May 15, 2012</w:t>
      </w:r>
    </w:p>
    <w:p w:rsidR="000D4C65" w:rsidRDefault="000D4C65" w:rsidP="000D4C65">
      <w:pPr>
        <w:tabs>
          <w:tab w:val="right" w:pos="5933"/>
        </w:tabs>
        <w:suppressAutoHyphens/>
        <w:jc w:val="both"/>
        <w:rPr>
          <w:rFonts w:eastAsia="Times New Roman"/>
        </w:rPr>
      </w:pPr>
    </w:p>
    <w:p w:rsidR="006B0939" w:rsidRPr="006B0939" w:rsidRDefault="006B0939" w:rsidP="006B0939">
      <w:pPr>
        <w:tabs>
          <w:tab w:val="right" w:pos="5933"/>
        </w:tabs>
        <w:suppressAutoHyphens/>
        <w:jc w:val="both"/>
        <w:rPr>
          <w:rFonts w:eastAsia="Times New Roman"/>
        </w:rPr>
      </w:pPr>
      <w:r>
        <w:rPr>
          <w:rFonts w:eastAsia="Times New Roman"/>
        </w:rPr>
        <w:tab/>
      </w:r>
      <w:r>
        <w:rPr>
          <w:rFonts w:eastAsia="Times New Roman"/>
          <w:b/>
          <w:sz w:val="36"/>
        </w:rPr>
        <w:t>S. 1267</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4522C">
        <w:t>Senators Hayes, Matthew</w:t>
      </w:r>
      <w:r w:rsidR="00855782">
        <w:t>s, Courson, Setzler, Jackson,</w:t>
      </w:r>
      <w:r w:rsidRPr="0044522C">
        <w:t xml:space="preserve"> Hutto</w:t>
      </w:r>
      <w:r w:rsidR="00855782">
        <w:t>, Knotts and Ford</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0D4C65" w:rsidP="00855782">
      <w:pPr>
        <w:tabs>
          <w:tab w:val="right" w:pos="5933"/>
        </w:tabs>
        <w:suppressAutoHyphens/>
        <w:jc w:val="both"/>
        <w:rPr>
          <w:rFonts w:eastAsia="Times New Roman"/>
        </w:rPr>
      </w:pPr>
      <w:r>
        <w:rPr>
          <w:rFonts w:eastAsia="Times New Roman"/>
        </w:rPr>
        <w:t>S. Printed 5/15</w:t>
      </w:r>
      <w:r w:rsidR="006B0939">
        <w:rPr>
          <w:rFonts w:eastAsia="Times New Roman"/>
        </w:rPr>
        <w:t>/12--S.</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43390E" w:rsidRDefault="006B0939"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0939" w:rsidSect="006B0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05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C9C" w:rsidRPr="00BB4F66"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sidRPr="00BB4F66">
        <w:rPr>
          <w:rFonts w:eastAsia="Times New Roman"/>
          <w:szCs w:val="20"/>
        </w:rPr>
        <w:t xml:space="preserve">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 OF AND STANDARDS AND CRITERIA FOR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WITH EXCEPTIONS MAY NOT PARTICIPATE IN INTERSCHOLASTIC ATHLETIC CONTESTS AND COMPETITIONS FOR ONE YEAR AFTER HIS DATE OF ENROLLMENT, TO PROVIDE THAT A RECEIVING DISTRICT SHALL ACCEPT CERTAIN CREDITS TOWARD A STUDENT’S REQUIREMENTS FOR GRADUATION, TO PROVIDE THAT A SCHOOL DISTRICT MAY CONTRACT WITH CERTAIN ENTITIES FOR THE PROVISION OF SERVICES, TO PROVIDE THAT THE STATE DEPARTMENT OF EDUCATION SHALL PROVIDE CERTAIN REPORTS ON THE PROGRAM TO THE GENERAL ASSEMBLY, AND TO PROVIDE THAT IMPLEMENTATION OF THIS PROGRAM </w:t>
      </w:r>
      <w:r w:rsidRPr="00BB4F66">
        <w:rPr>
          <w:rFonts w:eastAsia="Times New Roman"/>
          <w:szCs w:val="20"/>
        </w:rPr>
        <w:lastRenderedPageBreak/>
        <w:t xml:space="preserve">EACH FISCAL YEAR IS CONTINGENT UPON THE APPROPRIATION OF ADEQUATE FUNDING BY THE GENERAL ASSEMBLY.  </w:t>
      </w:r>
    </w:p>
    <w:p w:rsidR="00306971" w:rsidRDefault="00306971"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Amend Title To Conform</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Be it enacted by the General Assembly of the State of South Carolina:</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SECTION</w:t>
      </w:r>
      <w:r w:rsidRPr="00BD1FB7">
        <w:rPr>
          <w:rFonts w:eastAsia="Times New Roman"/>
          <w:szCs w:val="20"/>
        </w:rPr>
        <w:tab/>
        <w:t>1.</w:t>
      </w:r>
      <w:r w:rsidRPr="00BD1FB7">
        <w:rPr>
          <w:rFonts w:eastAsia="Times New Roman"/>
          <w:szCs w:val="20"/>
        </w:rPr>
        <w:tab/>
        <w:t xml:space="preserve">Title 59 of the 1976 Code is amended by adding: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“CHAPTER 62</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BD1FB7">
        <w:rPr>
          <w:rFonts w:eastAsia="Times New Roman"/>
          <w:szCs w:val="20"/>
        </w:rPr>
        <w:t>South Carolina Public School Choice Programs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w:t>
      </w:r>
      <w:r w:rsidRPr="00BD1FB7">
        <w:rPr>
          <w:rFonts w:eastAsia="Times New Roman"/>
          <w:szCs w:val="20"/>
        </w:rPr>
        <w:tab/>
        <w:t>(A)</w:t>
      </w:r>
      <w:r w:rsidRPr="00BD1FB7">
        <w:rPr>
          <w:rFonts w:eastAsia="Times New Roman"/>
          <w:szCs w:val="20"/>
        </w:rPr>
        <w:tab/>
        <w:t>There is established a School District Choice Program and an Open Enrollment Program within the public school system of this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In establishing these programs, it is the objective of the General Assembly to make the South Carolina public school system the most choice</w:t>
      </w:r>
      <w:r w:rsidRPr="00BD1FB7">
        <w:rPr>
          <w:rFonts w:eastAsia="Times New Roman"/>
          <w:szCs w:val="20"/>
        </w:rPr>
        <w:noBreakHyphen/>
        <w:t xml:space="preserve">driven public school system in the nation by increasing student participation in, and student access to,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20.</w:t>
      </w:r>
      <w:r w:rsidRPr="00BD1FB7">
        <w:rPr>
          <w:rFonts w:eastAsia="Times New Roman"/>
          <w:szCs w:val="20"/>
        </w:rPr>
        <w:tab/>
        <w:t xml:space="preserve">As used in this chapter: </w:t>
      </w:r>
    </w:p>
    <w:p w:rsidR="006E55E7" w:rsidRPr="00BD1FB7" w:rsidRDefault="00D85C70"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‘School District Choice P</w:t>
      </w:r>
      <w:r w:rsidR="006E55E7" w:rsidRPr="00BD1FB7">
        <w:rPr>
          <w:rFonts w:eastAsia="Times New Roman"/>
          <w:szCs w:val="20"/>
        </w:rPr>
        <w:t>rograms’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006E55E7" w:rsidRPr="00BD1FB7">
        <w:rPr>
          <w:rFonts w:eastAsia="Times New Roman"/>
          <w:szCs w:val="20"/>
        </w:rPr>
        <w:noBreakHyphen/>
        <w:t>gender programs, learning team programs, magnet school programs, arts programs, and school</w:t>
      </w:r>
      <w:r w:rsidR="006E55E7" w:rsidRPr="00BD1FB7">
        <w:rPr>
          <w:rFonts w:eastAsia="Times New Roman"/>
          <w:szCs w:val="20"/>
        </w:rPr>
        <w:noBreakHyphen/>
        <w:t>within</w:t>
      </w:r>
      <w:r w:rsidR="006E55E7" w:rsidRPr="00BD1FB7">
        <w:rPr>
          <w:rFonts w:eastAsia="Times New Roman"/>
          <w:szCs w:val="20"/>
        </w:rPr>
        <w:noBreakHyphen/>
        <w:t>a</w:t>
      </w:r>
      <w:r w:rsidR="006E55E7" w:rsidRPr="00BD1FB7">
        <w:rPr>
          <w:rFonts w:eastAsia="Times New Roman"/>
          <w:szCs w:val="20"/>
        </w:rPr>
        <w:noBreakHyphen/>
        <w:t>school programs and to provide for school assignments t</w:t>
      </w:r>
      <w:r>
        <w:rPr>
          <w:rFonts w:eastAsia="Times New Roman"/>
          <w:szCs w:val="20"/>
        </w:rPr>
        <w:t xml:space="preserve">o these programs using parents’ </w:t>
      </w:r>
      <w:r w:rsidR="006E55E7" w:rsidRPr="00BD1FB7">
        <w:rPr>
          <w:rFonts w:eastAsia="Times New Roman"/>
          <w:szCs w:val="20"/>
        </w:rPr>
        <w:t>indicated preferential choice as a significant factor for assigning students within the district.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(2)</w:t>
      </w:r>
      <w:r w:rsidRPr="00BD1FB7">
        <w:rPr>
          <w:rFonts w:eastAsia="Times New Roman"/>
          <w:szCs w:val="20"/>
        </w:rPr>
        <w:tab/>
        <w:t xml:space="preserve">‘Open </w:t>
      </w:r>
      <w:r w:rsidR="00D85C70">
        <w:rPr>
          <w:rFonts w:eastAsia="Times New Roman"/>
          <w:szCs w:val="20"/>
        </w:rPr>
        <w:t>E</w:t>
      </w:r>
      <w:r w:rsidRPr="00BD1FB7">
        <w:rPr>
          <w:rFonts w:eastAsia="Times New Roman"/>
          <w:szCs w:val="20"/>
        </w:rPr>
        <w:t xml:space="preserve">nrollment’ means a public education delivery system that requires school districts to allow for school </w:t>
      </w:r>
      <w:r w:rsidRPr="00BD1FB7">
        <w:rPr>
          <w:rFonts w:eastAsia="Times New Roman"/>
          <w:szCs w:val="20"/>
        </w:rPr>
        <w:lastRenderedPageBreak/>
        <w:t>assignments of students outside of the students’ distr</w:t>
      </w:r>
      <w:r w:rsidR="00D85C70">
        <w:rPr>
          <w:rFonts w:eastAsia="Times New Roman"/>
          <w:szCs w:val="20"/>
        </w:rPr>
        <w:t xml:space="preserve">ict of residence using parents’ </w:t>
      </w:r>
      <w:r w:rsidRPr="00BD1FB7">
        <w:rPr>
          <w:rFonts w:eastAsia="Times New Roman"/>
          <w:szCs w:val="20"/>
        </w:rPr>
        <w:t>indicated preferential choice as a significant factor.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(3)</w:t>
      </w:r>
      <w:r w:rsidRPr="00BD1FB7">
        <w:rPr>
          <w:rFonts w:eastAsia="Times New Roman"/>
          <w:szCs w:val="20"/>
        </w:rPr>
        <w:tab/>
        <w:t>‘Attendance zone’ means the geographic area used to determine a particular school assignment for students in the district of residence.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(4)</w:t>
      </w:r>
      <w:r w:rsidRPr="00BD1FB7">
        <w:rPr>
          <w:rFonts w:eastAsia="Times New Roman"/>
          <w:szCs w:val="20"/>
        </w:rPr>
        <w:tab/>
        <w:t xml:space="preserve">‘Capacity’ </w:t>
      </w:r>
      <w:r w:rsidRPr="00BD1FB7">
        <w:rPr>
          <w:rFonts w:eastAsia="Times New Roman"/>
          <w:bCs/>
          <w:szCs w:val="20"/>
        </w:rPr>
        <w:t xml:space="preserve">as established by the local board of trustees means individual school capacities to include any district projections per school for the school year impacted by a transfer pursuant to this chapter. However, when defining capacity, only permanent building structures may be included in the calculation of capacity </w:t>
      </w:r>
      <w:r w:rsidRPr="00BD1FB7">
        <w:rPr>
          <w:rFonts w:eastAsia="Times New Roman"/>
          <w:szCs w:val="20"/>
        </w:rPr>
        <w:t>and must not include transfers permitted by federal law.</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(5)</w:t>
      </w:r>
      <w:r w:rsidRPr="00BD1FB7">
        <w:rPr>
          <w:rFonts w:eastAsia="Times New Roman"/>
          <w:szCs w:val="20"/>
        </w:rPr>
        <w:tab/>
        <w:t>‘District of residence’ means a school district in which the parent or guardian of a student resides.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(6)</w:t>
      </w:r>
      <w:r w:rsidRPr="00BD1FB7">
        <w:rPr>
          <w:rFonts w:eastAsia="Times New Roman"/>
          <w:szCs w:val="20"/>
        </w:rPr>
        <w:tab/>
        <w:t>‘Feeder pattern’ means the schools to which students are assigned upon the completion of the highest grade level of their previous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(7)</w:t>
      </w:r>
      <w:r w:rsidRPr="00BD1FB7">
        <w:rPr>
          <w:rFonts w:eastAsia="Times New Roman"/>
          <w:szCs w:val="20"/>
        </w:rPr>
        <w:tab/>
        <w:t>‘Good cause’ means a change in a child’s residence due to a change in parent</w:t>
      </w:r>
      <w:r w:rsidR="00D85C70">
        <w:rPr>
          <w:rFonts w:eastAsia="Times New Roman"/>
          <w:szCs w:val="20"/>
        </w:rPr>
        <w:t>s</w:t>
      </w:r>
      <w:r w:rsidR="00855782">
        <w:rPr>
          <w:rFonts w:eastAsia="Times New Roman"/>
          <w:szCs w:val="20"/>
        </w:rPr>
        <w:t>’</w:t>
      </w:r>
      <w:r w:rsidRPr="00BD1FB7">
        <w:rPr>
          <w:rFonts w:eastAsia="Times New Roman"/>
          <w:szCs w:val="20"/>
        </w:rPr>
        <w:t xml:space="preserve">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(8)</w:t>
      </w:r>
      <w:r w:rsidRPr="00BD1FB7">
        <w:rPr>
          <w:rFonts w:eastAsia="Times New Roman"/>
          <w:szCs w:val="20"/>
        </w:rPr>
        <w:tab/>
        <w:t>‘Parent’ means the parent or legal guardian of a student of the State.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(9)</w:t>
      </w:r>
      <w:r w:rsidRPr="00BD1FB7">
        <w:rPr>
          <w:rFonts w:eastAsia="Times New Roman"/>
          <w:szCs w:val="20"/>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(10)</w:t>
      </w:r>
      <w:r w:rsidRPr="00BD1FB7">
        <w:rPr>
          <w:rFonts w:eastAsia="Times New Roman"/>
          <w:szCs w:val="20"/>
        </w:rPr>
        <w:tab/>
        <w:t>‘Siblings’ mean all children residing in the same household on a permanent basis who have the same mother or father or guardian.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(11)</w:t>
      </w:r>
      <w:r w:rsidRPr="00BD1FB7">
        <w:rPr>
          <w:rFonts w:eastAsia="Times New Roman"/>
          <w:szCs w:val="20"/>
        </w:rPr>
        <w:tab/>
        <w:t>‘Working days’ means working days as determined by a school district’s administrative calendar.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t>(12)</w:t>
      </w:r>
      <w:r w:rsidRPr="00BD1FB7">
        <w:rPr>
          <w:rFonts w:eastAsia="Times New Roman"/>
          <w:szCs w:val="20"/>
        </w:rPr>
        <w:tab/>
        <w:t xml:space="preserve">‘Department’ means the South Carolina Department of Education.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30.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In conjunction with a series of town meetings held throughout the State, the department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department shall compile and disseminate the results to the school districts of the State and members of the General Assembly.</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(C)</w:t>
      </w:r>
      <w:r w:rsidRPr="00BD1FB7">
        <w:rPr>
          <w:rFonts w:eastAsia="Times New Roman"/>
          <w:bCs/>
          <w:szCs w:val="20"/>
        </w:rPr>
        <w:tab/>
        <w:t>In the 2012</w:t>
      </w:r>
      <w:r w:rsidRPr="00BD1FB7">
        <w:rPr>
          <w:rFonts w:eastAsia="Times New Roman"/>
          <w:bCs/>
          <w:szCs w:val="20"/>
        </w:rPr>
        <w:noBreakHyphen/>
        <w:t>2013 school year, with funds appropriated by the General Assembly, the department shall establish a School District Choice and an Open Enrollment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sidRPr="00BD1FB7">
        <w:rPr>
          <w:rFonts w:eastAsia="Times New Roman"/>
          <w:bCs/>
          <w:szCs w:val="20"/>
        </w:rPr>
        <w:noBreakHyphen/>
        <w:t xml:space="preserve">tuition choice options for students between adjacent school districts.  The department shall offer technical assistance to the pilot districts in developing and implementing Open Enrollment choice programs.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(D)</w:t>
      </w:r>
      <w:r w:rsidRPr="00BD1FB7">
        <w:rPr>
          <w:rFonts w:eastAsia="Times New Roman"/>
          <w:bCs/>
          <w:szCs w:val="20"/>
        </w:rPr>
        <w:tab/>
        <w:t>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color w:val="000000"/>
        </w:rPr>
        <w:tab/>
        <w:t>(E)</w:t>
      </w:r>
      <w:r w:rsidRPr="00BD1FB7">
        <w:rPr>
          <w:rFonts w:eastAsia="Times New Roman"/>
          <w:color w:val="000000"/>
        </w:rPr>
        <w:tab/>
        <w:t xml:space="preserve">The State Board of Education shall develop guidelines listing factors to be considered in determining school capacity.  In developing these guidelines, a task force shall be established with </w:t>
      </w:r>
      <w:r w:rsidRPr="00BD1FB7">
        <w:rPr>
          <w:rFonts w:eastAsia="Times New Roman"/>
          <w:color w:val="000000"/>
        </w:rPr>
        <w:lastRenderedPageBreak/>
        <w:t>membership to include, but not be limited to, school board members, superintendents, principals, parents, and business and community leaders.  The membership of the task force shall reflect urban and rural areas of the State.</w:t>
      </w:r>
    </w:p>
    <w:p w:rsidR="000D4C65" w:rsidRPr="00240F1A" w:rsidRDefault="000D4C65" w:rsidP="007C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240F1A">
        <w:rPr>
          <w:rFonts w:eastAsia="Times New Roman"/>
          <w:bCs/>
          <w:szCs w:val="20"/>
        </w:rPr>
        <w:tab/>
        <w:t>(F)(1)</w:t>
      </w:r>
      <w:r w:rsidRPr="00240F1A">
        <w:rPr>
          <w:rFonts w:eastAsia="Times New Roman"/>
          <w:bCs/>
          <w:szCs w:val="20"/>
        </w:rPr>
        <w:tab/>
        <w:t>Subject to item (2), during the 2012</w:t>
      </w:r>
      <w:r w:rsidRPr="00240F1A">
        <w:rPr>
          <w:rFonts w:eastAsia="Times New Roman"/>
          <w:bCs/>
          <w:szCs w:val="20"/>
        </w:rPr>
        <w:noBreakHyphen/>
        <w:t>2013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w:t>
      </w:r>
    </w:p>
    <w:p w:rsidR="006E55E7" w:rsidRPr="00BD1FB7" w:rsidRDefault="000D4C65" w:rsidP="000D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0F1A">
        <w:rPr>
          <w:rFonts w:eastAsia="Times New Roman"/>
          <w:bCs/>
          <w:szCs w:val="20"/>
        </w:rPr>
        <w:tab/>
      </w:r>
      <w:r w:rsidRPr="00240F1A">
        <w:rPr>
          <w:rFonts w:eastAsia="Times New Roman"/>
          <w:bCs/>
          <w:szCs w:val="20"/>
        </w:rPr>
        <w:tab/>
        <w:t>(2)</w:t>
      </w:r>
      <w:r w:rsidRPr="00240F1A">
        <w:rPr>
          <w:rFonts w:eastAsia="Times New Roman"/>
          <w:bCs/>
          <w:szCs w:val="20"/>
        </w:rPr>
        <w:tab/>
        <w:t>The requirements of item (1) do not apply to a school district that had a school choice plan in place during the 2011-2012 school year that provided parents and students choice options within the district.  A school district exempt from the provisions of item (1) must submit</w:t>
      </w:r>
      <w:r>
        <w:rPr>
          <w:rFonts w:eastAsia="Times New Roman"/>
          <w:bCs/>
          <w:szCs w:val="20"/>
        </w:rPr>
        <w:t xml:space="preserve"> information to the department detailing </w:t>
      </w:r>
      <w:r w:rsidRPr="00240F1A">
        <w:rPr>
          <w:rFonts w:eastAsia="Times New Roman"/>
          <w:bCs/>
          <w:szCs w:val="20"/>
        </w:rPr>
        <w:t>the school choice plan in place during the 2011-2012 school year.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40.</w:t>
      </w:r>
      <w:r w:rsidRPr="00BD1FB7">
        <w:rPr>
          <w:rFonts w:eastAsia="Times New Roman"/>
          <w:szCs w:val="20"/>
        </w:rPr>
        <w:tab/>
        <w:t>(A)</w:t>
      </w:r>
      <w:r w:rsidRPr="00BD1FB7">
        <w:rPr>
          <w:rFonts w:eastAsia="Times New Roman"/>
          <w:szCs w:val="20"/>
        </w:rPr>
        <w:tab/>
        <w:t>Beginning in the 2013</w:t>
      </w:r>
      <w:r w:rsidRPr="00BD1FB7">
        <w:rPr>
          <w:rFonts w:eastAsia="Times New Roman"/>
          <w:szCs w:val="20"/>
        </w:rPr>
        <w:noBreakHyphen/>
        <w:t>2014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department, districts may utilize technical assistance funds provided pursuant to Section 59</w:t>
      </w:r>
      <w:r w:rsidRPr="00BD1FB7">
        <w:rPr>
          <w:rFonts w:eastAsia="Times New Roman"/>
          <w:szCs w:val="20"/>
        </w:rPr>
        <w:noBreakHyphen/>
        <w:t>18</w:t>
      </w:r>
      <w:r w:rsidRPr="00BD1FB7">
        <w:rPr>
          <w:rFonts w:eastAsia="Times New Roman"/>
          <w:szCs w:val="20"/>
        </w:rPr>
        <w:noBreakHyphen/>
        <w:t>1590 to assist in the implementation of school choice plans.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During the 2013</w:t>
      </w:r>
      <w:r w:rsidRPr="00BD1FB7">
        <w:rPr>
          <w:rFonts w:eastAsia="Times New Roman"/>
          <w:szCs w:val="20"/>
        </w:rPr>
        <w:noBreakHyphen/>
        <w:t>2014 school year, the School Choice Committee, established pursuant to Section 59</w:t>
      </w:r>
      <w:r w:rsidRPr="00BD1FB7">
        <w:rPr>
          <w:rFonts w:eastAsia="Times New Roman"/>
          <w:szCs w:val="20"/>
        </w:rPr>
        <w:noBreakHyphen/>
        <w:t>62</w:t>
      </w:r>
      <w:r w:rsidRPr="00BD1FB7">
        <w:rPr>
          <w:rFonts w:eastAsia="Times New Roman"/>
          <w:szCs w:val="20"/>
        </w:rPr>
        <w:noBreakHyphen/>
        <w:t>30(F), and school district administration shall develop plans to implement an Open Enrollment choice program as outlined in this chapter.  However, nothing in this chapter shall prohibit a school district from implementing the Open Enrollment choice program prior to the 2014</w:t>
      </w:r>
      <w:r w:rsidRPr="00BD1FB7">
        <w:rPr>
          <w:rFonts w:eastAsia="Times New Roman"/>
          <w:szCs w:val="20"/>
        </w:rPr>
        <w:noBreakHyphen/>
        <w:t>2015 school year.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Based on the findings obtained from the pilot programs established in Section 59</w:t>
      </w:r>
      <w:r w:rsidRPr="00BD1FB7">
        <w:rPr>
          <w:rFonts w:eastAsia="Times New Roman"/>
          <w:szCs w:val="20"/>
        </w:rPr>
        <w:noBreakHyphen/>
        <w:t>62</w:t>
      </w:r>
      <w:r w:rsidRPr="00BD1FB7">
        <w:rPr>
          <w:rFonts w:eastAsia="Times New Roman"/>
          <w:szCs w:val="20"/>
        </w:rPr>
        <w:noBreakHyphen/>
        <w:t xml:space="preserve">30(C) and the implementation of district choice programs, the department shall issue a report to the </w:t>
      </w:r>
      <w:r w:rsidRPr="00BD1FB7">
        <w:rPr>
          <w:rFonts w:eastAsia="Times New Roman"/>
          <w:szCs w:val="20"/>
        </w:rPr>
        <w:lastRenderedPageBreak/>
        <w:t>General Assembly by January 1, 2014.  The report shall include, but not be limited to, districts participating in the pilot programs and number of students participating in new choice options, types of choice options being implemented in each school district, number of students participating in school district choice options, and recommended changes to this chapter to include the basis for such recommendations.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50.</w:t>
      </w:r>
      <w:r w:rsidRPr="00BD1FB7">
        <w:rPr>
          <w:rFonts w:eastAsia="Times New Roman"/>
          <w:szCs w:val="20"/>
        </w:rPr>
        <w:tab/>
        <w:t>(A)</w:t>
      </w:r>
      <w:r w:rsidRPr="00BD1FB7">
        <w:rPr>
          <w:rFonts w:eastAsia="Times New Roman"/>
          <w:szCs w:val="20"/>
        </w:rPr>
        <w:tab/>
        <w:t>Beginning with the 2014</w:t>
      </w:r>
      <w:r w:rsidRPr="00BD1FB7">
        <w:rPr>
          <w:rFonts w:eastAsia="Times New Roman"/>
          <w:szCs w:val="20"/>
        </w:rPr>
        <w:noBreakHyphen/>
        <w:t>2015 school year and each succeeding school year, a parent residing in this State may enroll his child in a public school in any school district without the requirement of payment of tuition in the manner provided in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(B)(1)</w:t>
      </w:r>
      <w:r w:rsidRPr="00BD1FB7">
        <w:rPr>
          <w:rFonts w:eastAsia="Times New Roman"/>
          <w:szCs w:val="20"/>
        </w:rPr>
        <w:tab/>
        <w:t>Each school district of the State shall participate in public school open enrollment consistent with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A parent of a school age child may apply to enroll his child in a school in a receiving district by submitting a written application, on a form provided to districts by the department, to the receiving district and to the district of residence postmarked not later than January fifteen for enrollment during the following school year for grades kindergarten through twelve. The application should identify the reason for seeking enrollment in the receiving district. The parent shall request a particular school or program as part of the application.  </w:t>
      </w:r>
      <w:r w:rsidRPr="00BD1FB7">
        <w:rPr>
          <w:rFonts w:eastAsia="Times New Roman"/>
          <w:color w:val="000000"/>
        </w:rPr>
        <w:t>However, the assignment of the student must be determined by the receiving school district based on capacity.</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If a parent desires to transfer a child to a school within the parent and child’s district of residence but not within the child’s attendance area or zone, the parent shall make application therefore in the same manner provided in this chapter for interdistrict transfers.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If a local school board by the last day of February notifies an applicant that their application for enrollment in a particular school has been denied due to a lack of capacity in that school, the school board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local board within fifteen days after receipt of the new application must act thereon.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 xml:space="preserve">If a parent of a school age child fails to file an application by the deadline, and good cause exists for the failure to meet the </w:t>
      </w:r>
      <w:r w:rsidRPr="00BD1FB7">
        <w:rPr>
          <w:rFonts w:eastAsia="Times New Roman"/>
          <w:szCs w:val="20"/>
        </w:rPr>
        <w:lastRenderedPageBreak/>
        <w:t>deadline, the receiving district and the district of residence may accept and consider the application in the same manner as if the deadline had been met.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Upon agreement between the resident and the nonresident school boards, or between the affected schools within the resident district, the deadline for application may be waived.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The parent or guardian of the student approved to enroll shall confirm in writing to the nonresident school district by April first whether the student intends to enroll. Notice of intent to enroll in the nonresident district obligates the student to attend the nonresident district during the following school year, unless the boards of the resident and nonresident school districts agree in writing to allow the student to transfer back to the district of residence, or good cause can be substantiated.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A parent who applies under this chapter and whose child is approved to enroll in a school outside of his school attendance area of his resident district but whose child fails to attend the school is ineligible to apply again for enrollment for a period of one year absent good cause shown.  Good cause shall be determined by the board of the local school district of the applicable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60.</w:t>
      </w:r>
      <w:r w:rsidRPr="00BD1FB7">
        <w:rPr>
          <w:rFonts w:eastAsia="Times New Roman"/>
          <w:szCs w:val="20"/>
        </w:rPr>
        <w:tab/>
        <w:t>(A)</w:t>
      </w:r>
      <w:r w:rsidRPr="00BD1FB7">
        <w:rPr>
          <w:rFonts w:eastAsia="Times New Roman"/>
          <w:szCs w:val="20"/>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The board of trustees of the receiving district shall take action no later than the last day of February of the school year preceding enrollment to approve or deny an application for admission in grades kindergarten through twelve.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The board of the receiving district shall take action to approve or deny an application filed in accordance with Section 59</w:t>
      </w:r>
      <w:r w:rsidRPr="00BD1FB7">
        <w:rPr>
          <w:rFonts w:eastAsia="Times New Roman"/>
          <w:szCs w:val="20"/>
        </w:rPr>
        <w:noBreakHyphen/>
        <w:t>62</w:t>
      </w:r>
      <w:r w:rsidRPr="00BD1FB7">
        <w:rPr>
          <w:rFonts w:eastAsia="Times New Roman"/>
          <w:szCs w:val="20"/>
        </w:rPr>
        <w:noBreakHyphen/>
        <w:t>50(B) within forty</w:t>
      </w:r>
      <w:r w:rsidRPr="00BD1FB7">
        <w:rPr>
          <w:rFonts w:eastAsia="Times New Roman"/>
          <w:szCs w:val="20"/>
        </w:rPr>
        <w:noBreakHyphen/>
        <w:t>five days of the receipt of the application.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The board of the receiving district shall notify the parent of the child and the board of the district of residence in writing within five working days after board action. In the case of denial, a written explanation of the denial must be included in the notification.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65.</w:t>
      </w:r>
      <w:r w:rsidRPr="00BD1FB7">
        <w:rPr>
          <w:rFonts w:eastAsia="Times New Roman"/>
          <w:szCs w:val="20"/>
        </w:rPr>
        <w:tab/>
        <w:t xml:space="preserve">Students under this chapter, subject to capacity and the other requirements of this chapter, shall be permitted to transfer to a school outside their attendance area </w:t>
      </w:r>
      <w:r w:rsidRPr="00BD1FB7">
        <w:rPr>
          <w:rFonts w:eastAsia="Times New Roman"/>
          <w:szCs w:val="20"/>
        </w:rPr>
        <w:lastRenderedPageBreak/>
        <w:t>within their district or to a school outside their attendance area in another district.  Where the provisions of this chapter refer to sending districts or receiving districts, or both, they shall be construed to mean sending schools or receiving schools as appropriate when the context requires.</w:t>
      </w:r>
      <w:r w:rsidRPr="00BD1FB7">
        <w:rPr>
          <w:rFonts w:eastAsia="Times New Roman"/>
          <w:szCs w:val="20"/>
        </w:rPr>
        <w:tab/>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Pr>
          <w:rFonts w:eastAsia="Times New Roman"/>
          <w:szCs w:val="20"/>
        </w:rPr>
        <w:noBreakHyphen/>
      </w:r>
      <w:r w:rsidRPr="00BD1FB7">
        <w:rPr>
          <w:rFonts w:eastAsia="Times New Roman"/>
          <w:szCs w:val="20"/>
        </w:rPr>
        <w:t>62</w:t>
      </w:r>
      <w:r>
        <w:rPr>
          <w:rFonts w:eastAsia="Times New Roman"/>
          <w:szCs w:val="20"/>
        </w:rPr>
        <w:noBreakHyphen/>
      </w:r>
      <w:r w:rsidRPr="00BD1FB7">
        <w:rPr>
          <w:rFonts w:eastAsia="Times New Roman"/>
          <w:szCs w:val="20"/>
        </w:rPr>
        <w:t>70.</w:t>
      </w:r>
      <w:r w:rsidRPr="00BD1FB7">
        <w:rPr>
          <w:rFonts w:eastAsia="Times New Roman"/>
          <w:szCs w:val="20"/>
        </w:rPr>
        <w:tab/>
        <w:t>(A)</w:t>
      </w:r>
      <w:r w:rsidRPr="00BD1FB7">
        <w:rPr>
          <w:rFonts w:eastAsia="Times New Roman"/>
          <w:szCs w:val="20"/>
        </w:rPr>
        <w:tab/>
        <w:t>In implementing the provisions of this chapter, a student who currently resides in the attendance zone of a school</w:t>
      </w:r>
      <w:r>
        <w:rPr>
          <w:rFonts w:eastAsia="Times New Roman"/>
          <w:szCs w:val="20"/>
        </w:rPr>
        <w:t>, or who qualifies to attend schools within the attendance zone pursuant to Section 59</w:t>
      </w:r>
      <w:r>
        <w:rPr>
          <w:rFonts w:eastAsia="Times New Roman"/>
          <w:szCs w:val="20"/>
        </w:rPr>
        <w:noBreakHyphen/>
        <w:t>63</w:t>
      </w:r>
      <w:r>
        <w:rPr>
          <w:rFonts w:eastAsia="Times New Roman"/>
          <w:szCs w:val="20"/>
        </w:rPr>
        <w:noBreakHyphen/>
        <w:t>30,</w:t>
      </w:r>
      <w:r w:rsidRPr="00BD1FB7">
        <w:rPr>
          <w:rFonts w:eastAsia="Times New Roman"/>
          <w:szCs w:val="20"/>
        </w:rPr>
        <w:t xml:space="preserve"> must not be displaced by students transferring from outside the attendance zone.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A school district is not required to:</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accept students at a particular school residing outside the school’s attendance area in excess of three percent of the school’s highest average daily membership in any year over the preceding ten</w:t>
      </w:r>
      <w:r w:rsidRPr="00BD1FB7">
        <w:rPr>
          <w:rFonts w:eastAsia="Times New Roman"/>
          <w:szCs w:val="20"/>
        </w:rPr>
        <w:noBreakHyphen/>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make alterations in the structure of a requested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establish and offer a particular program in a school if the program is not currently offered in the requested school;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alter or waive an established eligibility criteria for participation in a particular program, including age requirements, course prerequisites, or required levels of performance.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(C)</w:t>
      </w:r>
      <w:r w:rsidRPr="00BD1FB7">
        <w:rPr>
          <w:rFonts w:eastAsia="Times New Roman"/>
          <w:szCs w:val="20"/>
        </w:rPr>
        <w:tab/>
        <w:t xml:space="preserve">The school board of trustees shall adopt specific policies regarding capacity standards, standards of approval, and priorities of acceptance.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Standards of approval may include consideration of the capacity of a program, class, or grade level. </w:t>
      </w:r>
      <w:r w:rsidRPr="00BD1FB7">
        <w:rPr>
          <w:rFonts w:eastAsia="Times New Roman"/>
          <w:bCs/>
          <w:iCs/>
          <w:szCs w:val="20"/>
        </w:rPr>
        <w:t xml:space="preserve"> </w:t>
      </w:r>
      <w:r w:rsidRPr="00BD1FB7">
        <w:rPr>
          <w:rFonts w:eastAsia="Times New Roman"/>
          <w:szCs w:val="20"/>
        </w:rPr>
        <w:t xml:space="preserve">Standards must not be based on ethnicity, national origin, gender, income level, or include an applicant’s athletic, artistic, or other extracurricular ability,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Standards </w:t>
      </w:r>
      <w:r w:rsidRPr="00BD1FB7">
        <w:rPr>
          <w:rFonts w:eastAsia="Times New Roman"/>
          <w:szCs w:val="20"/>
        </w:rPr>
        <w:lastRenderedPageBreak/>
        <w:t xml:space="preserve">may include an applicant’s previous academic achievement only if enrollment in that program or school is based upon specific levels of performance uniformly applied to all seeking enrollment to that program or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In the assignment of students, priority must be given: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r>
      <w:r w:rsidRPr="00BD1FB7">
        <w:rPr>
          <w:rFonts w:eastAsia="Times New Roman"/>
          <w:color w:val="000000"/>
        </w:rPr>
        <w:tab/>
      </w:r>
      <w:r w:rsidRPr="00BD1FB7">
        <w:rPr>
          <w:rFonts w:eastAsia="Times New Roman"/>
          <w:color w:val="000000"/>
        </w:rPr>
        <w:tab/>
        <w:t>(a)</w:t>
      </w:r>
      <w:r w:rsidRPr="00BD1FB7">
        <w:rPr>
          <w:rFonts w:eastAsia="Times New Roman"/>
          <w:color w:val="000000"/>
        </w:rPr>
        <w:tab/>
        <w:t>first, to students residing within the district including students currently enrolled in private schools and home schools, but who desire to attend a school outside their attendance zone;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(b)</w:t>
      </w:r>
      <w:r w:rsidRPr="00BD1FB7">
        <w:rPr>
          <w:rFonts w:eastAsia="Times New Roman"/>
          <w:color w:val="000000"/>
        </w:rPr>
        <w:tab/>
        <w:t>second, to returning students who continue to meet the requirements for the program or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(c)</w:t>
      </w:r>
      <w:r w:rsidRPr="00BD1FB7">
        <w:rPr>
          <w:rFonts w:eastAsia="Times New Roman"/>
          <w:color w:val="000000"/>
        </w:rPr>
        <w:tab/>
        <w:t>third, to students who meet the requirements for the program or school and who seek to attend the designated school in the district’s feeder pattern;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(d)</w:t>
      </w:r>
      <w:r w:rsidRPr="00BD1FB7">
        <w:rPr>
          <w:rFonts w:eastAsia="Times New Roman"/>
          <w:color w:val="000000"/>
        </w:rPr>
        <w:tab/>
        <w:t>fourth, to the siblings of students residing in the same household already enrolled in the school, provided that any siblings seeking priority under this section meet the requirements for the program or school; and</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color w:val="000000"/>
        </w:rPr>
        <w:tab/>
      </w:r>
      <w:r w:rsidRPr="00BD1FB7">
        <w:rPr>
          <w:rFonts w:eastAsia="Times New Roman"/>
          <w:color w:val="000000"/>
        </w:rPr>
        <w:tab/>
      </w:r>
      <w:r w:rsidRPr="00BD1FB7">
        <w:rPr>
          <w:rFonts w:eastAsia="Times New Roman"/>
          <w:color w:val="000000"/>
        </w:rPr>
        <w:tab/>
        <w:t>(e)</w:t>
      </w:r>
      <w:r w:rsidRPr="00BD1FB7">
        <w:rPr>
          <w:rFonts w:eastAsia="Times New Roman"/>
          <w:color w:val="000000"/>
        </w:rPr>
        <w:tab/>
        <w:t>fifth, to students whose parent or legal guardian is assigned to the school as his or her primary place of employment.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The policies must not have the purpose or effect of causing racial segregation in a school or the school district.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(D)</w:t>
      </w:r>
      <w:r w:rsidRPr="00BD1FB7">
        <w:rPr>
          <w:rFonts w:eastAsia="Times New Roman"/>
          <w:szCs w:val="20"/>
        </w:rPr>
        <w:tab/>
        <w:t xml:space="preserve">A receiving school only may deny resident students living outside the attendance zone or nonresident students permission to enroll for the following reasons: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there is a lack of capacity in the school or program requested;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(2)</w:t>
      </w:r>
      <w:r w:rsidRPr="00BD1FB7">
        <w:rPr>
          <w:rFonts w:eastAsia="Times New Roman"/>
          <w:szCs w:val="20"/>
        </w:rPr>
        <w:tab/>
        <w:t xml:space="preserve">the school requested does not offer the appropriate programs or is not structured or equipped with the necessary facilities to meet special needs of a student;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the student does not meet established eligibility criteria for participation in a particular program, including age requirements, course prerequisites, or required levels of performance;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a voluntary or court</w:t>
      </w:r>
      <w:r w:rsidRPr="00BD1FB7">
        <w:rPr>
          <w:rFonts w:eastAsia="Times New Roman"/>
          <w:szCs w:val="20"/>
        </w:rPr>
        <w:noBreakHyphen/>
        <w:t xml:space="preserve">ordered desegregation plan is in effect for the school district, and the denial is necessary in order to enable compliance with the desegregation plan;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(5)</w:t>
      </w:r>
      <w:r w:rsidRPr="00BD1FB7">
        <w:rPr>
          <w:rFonts w:eastAsia="Times New Roman"/>
          <w:szCs w:val="20"/>
        </w:rPr>
        <w:tab/>
        <w:t xml:space="preserve">the student was suspended for ten days or more the previous school year, is expelled, has committed offenses that would result in expulsion, or is in the process of being suspended or expelled.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 xml:space="preserve">A denial of a request by the board of a receiving district is final. </w:t>
      </w:r>
    </w:p>
    <w:p w:rsidR="006E55E7" w:rsidRDefault="00855782"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0086488B">
        <w:rPr>
          <w:rFonts w:eastAsia="Times New Roman"/>
          <w:snapToGrid w:val="0"/>
          <w:szCs w:val="20"/>
        </w:rPr>
        <w:tab/>
        <w:t>(</w:t>
      </w:r>
      <w:r>
        <w:rPr>
          <w:rFonts w:eastAsia="Times New Roman"/>
          <w:snapToGrid w:val="0"/>
          <w:szCs w:val="20"/>
        </w:rPr>
        <w:t>6</w:t>
      </w:r>
      <w:r w:rsidR="006E55E7">
        <w:rPr>
          <w:rFonts w:eastAsia="Times New Roman"/>
          <w:snapToGrid w:val="0"/>
          <w:szCs w:val="20"/>
        </w:rPr>
        <w:t>)</w:t>
      </w:r>
      <w:r w:rsidR="006E55E7">
        <w:rPr>
          <w:rFonts w:eastAsia="Times New Roman"/>
          <w:snapToGrid w:val="0"/>
          <w:szCs w:val="20"/>
        </w:rPr>
        <w:tab/>
      </w:r>
      <w:r>
        <w:rPr>
          <w:rFonts w:eastAsia="Times New Roman"/>
          <w:snapToGrid w:val="0"/>
          <w:szCs w:val="20"/>
        </w:rPr>
        <w:t>a</w:t>
      </w:r>
      <w:r w:rsidR="006E55E7">
        <w:rPr>
          <w:rFonts w:eastAsia="Times New Roman"/>
          <w:snapToGrid w:val="0"/>
          <w:szCs w:val="20"/>
        </w:rPr>
        <w:t xml:space="preserve"> student who qualifies to attend a school in a school district pursuant to Section 59</w:t>
      </w:r>
      <w:r w:rsidR="006E55E7">
        <w:rPr>
          <w:rFonts w:eastAsia="Times New Roman"/>
          <w:snapToGrid w:val="0"/>
          <w:szCs w:val="20"/>
        </w:rPr>
        <w:noBreakHyphen/>
        <w:t>63</w:t>
      </w:r>
      <w:r w:rsidR="006E55E7">
        <w:rPr>
          <w:rFonts w:eastAsia="Times New Roman"/>
          <w:snapToGrid w:val="0"/>
          <w:szCs w:val="20"/>
        </w:rPr>
        <w:noBreakHyphen/>
        <w:t xml:space="preserve">30, including the requirement </w:t>
      </w:r>
      <w:r w:rsidR="006E55E7">
        <w:rPr>
          <w:rFonts w:eastAsia="Times New Roman"/>
          <w:snapToGrid w:val="0"/>
          <w:szCs w:val="20"/>
        </w:rPr>
        <w:lastRenderedPageBreak/>
        <w:t xml:space="preserve">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(E)</w:t>
      </w:r>
      <w:r w:rsidRPr="00BD1FB7">
        <w:rPr>
          <w:rFonts w:eastAsia="Times New Roman"/>
          <w:szCs w:val="20"/>
        </w:rPr>
        <w:tab/>
        <w:t>A sending school district only may deny resident students a transfer to a receiving school when the transfer would violate a voluntary or court</w:t>
      </w:r>
      <w:r w:rsidRPr="00BD1FB7">
        <w:rPr>
          <w:rFonts w:eastAsia="Times New Roman"/>
          <w:szCs w:val="20"/>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school’s transfer requests exceed twenty percent of its enrollment, the State Board of Education shall appoint an external review team to study educational programs in the school, identify factors contributing to the transfer requests of students, and make recommendations to the district.</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(F)</w:t>
      </w:r>
      <w:r w:rsidRPr="00BD1FB7">
        <w:rPr>
          <w:rFonts w:eastAsia="Times New Roman"/>
          <w:szCs w:val="20"/>
        </w:rPr>
        <w:tab/>
        <w:t xml:space="preserve">A district may not take any action to prohibit or prevent application by resident students to attend school in a nonresident school district or to attend another school within the resident district.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(G)</w:t>
      </w:r>
      <w:r w:rsidRPr="00BD1FB7">
        <w:rPr>
          <w:rFonts w:eastAsia="Times New Roman"/>
          <w:szCs w:val="20"/>
        </w:rPr>
        <w:tab/>
      </w:r>
      <w:r w:rsidRPr="00BD1FB7">
        <w:rPr>
          <w:rFonts w:eastAsia="Times New Roman"/>
          <w:color w:val="000000"/>
        </w:rPr>
        <w:t>Each school board of trustees of the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January first of each school year as it relates to capacity capabilities for the following school year.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80.</w:t>
      </w:r>
      <w:r w:rsidRPr="00BD1FB7">
        <w:rPr>
          <w:rFonts w:eastAsia="Times New Roman"/>
          <w:szCs w:val="20"/>
        </w:rPr>
        <w:tab/>
        <w:t>(A)</w:t>
      </w:r>
      <w:r w:rsidRPr="00BD1FB7">
        <w:rPr>
          <w:rFonts w:eastAsia="Times New Roman"/>
          <w:szCs w:val="20"/>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A receiving district may terminate the enrollment of a nonresident student enrolled pursuant to this chapter at the end of a school year if the: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(1)</w:t>
      </w:r>
      <w:r w:rsidRPr="00BD1FB7">
        <w:rPr>
          <w:rFonts w:eastAsia="Times New Roman"/>
          <w:szCs w:val="20"/>
        </w:rPr>
        <w:tab/>
        <w:t xml:space="preserve">student meets the definition of a habitual truant;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lastRenderedPageBreak/>
        <w:tab/>
      </w:r>
      <w:r w:rsidRPr="00BD1FB7">
        <w:rPr>
          <w:rFonts w:eastAsia="Times New Roman"/>
          <w:szCs w:val="20"/>
        </w:rPr>
        <w:tab/>
        <w:t>(2)</w:t>
      </w:r>
      <w:r w:rsidRPr="00BD1FB7">
        <w:rPr>
          <w:rFonts w:eastAsia="Times New Roman"/>
          <w:szCs w:val="20"/>
        </w:rPr>
        <w:tab/>
        <w:t xml:space="preserve">student fails to comply with requirements for attending school or class;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(3)</w:t>
      </w:r>
      <w:r w:rsidRPr="00BD1FB7">
        <w:rPr>
          <w:rFonts w:eastAsia="Times New Roman"/>
          <w:szCs w:val="20"/>
        </w:rPr>
        <w:tab/>
        <w:t xml:space="preserve">student has committed violations of the receiving district’s student code of conduct resulting in ten or more days of suspension; or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r>
      <w:r w:rsidRPr="00BD1FB7">
        <w:rPr>
          <w:rFonts w:eastAsia="Times New Roman"/>
          <w:szCs w:val="20"/>
        </w:rPr>
        <w:tab/>
        <w:t>(4)</w:t>
      </w:r>
      <w:r w:rsidRPr="00BD1FB7">
        <w:rPr>
          <w:rFonts w:eastAsia="Times New Roman"/>
          <w:szCs w:val="20"/>
        </w:rPr>
        <w:tab/>
        <w:t xml:space="preserve">board of the district of residence, the board of the receiving district, and the parent having submitted the application for enrollment agree for any reason to terminate the enrollment.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90.</w:t>
      </w:r>
      <w:r w:rsidRPr="00BD1FB7">
        <w:rPr>
          <w:rFonts w:eastAsia="Times New Roman"/>
          <w:szCs w:val="20"/>
        </w:rPr>
        <w:tab/>
      </w:r>
      <w:r w:rsidRPr="00BD1FB7">
        <w:rPr>
          <w:rFonts w:eastAsia="Times New Roman"/>
          <w:bCs/>
          <w:szCs w:val="20"/>
        </w:rPr>
        <w:t>(A)</w:t>
      </w:r>
      <w:r w:rsidRPr="00BD1FB7">
        <w:rPr>
          <w:rFonts w:eastAsia="Times New Roman"/>
          <w:bCs/>
          <w:szCs w:val="20"/>
        </w:rPr>
        <w:tab/>
        <w:t xml:space="preserve">The parent is responsible for transporting the student to and from the school. However, nothing in this chapter shall be construed as prohibiting resident districts or the receiving districts from providing bus transportation on any approved route and districts are encouraged to collaborate in the development of transportation plans for students whose parents are unable to provide transportation.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D1FB7">
        <w:rPr>
          <w:rFonts w:eastAsia="Times New Roman"/>
          <w:bCs/>
          <w:szCs w:val="20"/>
        </w:rPr>
        <w:tab/>
        <w:t>(B)</w:t>
      </w:r>
      <w:r w:rsidRPr="00BD1FB7">
        <w:rPr>
          <w:rFonts w:eastAsia="Times New Roman"/>
          <w:bCs/>
          <w:szCs w:val="20"/>
        </w:rPr>
        <w:tab/>
        <w:t>Parents or guardians of students attending a receiving school district, whose family income is one hundred eighty</w:t>
      </w:r>
      <w:r w:rsidRPr="00BD1FB7">
        <w:rPr>
          <w:rFonts w:eastAsia="Times New Roman"/>
          <w:bCs/>
          <w:szCs w:val="20"/>
        </w:rPr>
        <w:noBreakHyphen/>
        <w:t>five percent or less of the federal poverty guidelines as promulgated annually by the United States Department of Health and Human Services, making them eligible for free or reduced</w:t>
      </w:r>
      <w:r w:rsidRPr="00BD1FB7">
        <w:rPr>
          <w:rFonts w:eastAsia="Times New Roman"/>
          <w:bCs/>
          <w:szCs w:val="20"/>
        </w:rPr>
        <w:noBreakHyphen/>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bCs/>
          <w:szCs w:val="20"/>
        </w:rPr>
        <w:tab/>
        <w:t>(C)</w:t>
      </w:r>
      <w:r w:rsidRPr="00BD1FB7">
        <w:rPr>
          <w:rFonts w:eastAsia="Times New Roman"/>
          <w:bCs/>
          <w:szCs w:val="20"/>
        </w:rPr>
        <w:tab/>
        <w:t>With funds appropriated by the General Assembly, the department shall reimburse receiving school districts for transportation expenses as provided in subsection (B) of this section.  The rate of reimbursement shall be pursuant to State Board of Education regulations.</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100.</w:t>
      </w:r>
      <w:r w:rsidRPr="00BD1FB7">
        <w:rPr>
          <w:rFonts w:eastAsia="Times New Roman"/>
          <w:szCs w:val="20"/>
        </w:rPr>
        <w:tab/>
        <w:t>(A)</w:t>
      </w:r>
      <w:r w:rsidRPr="00BD1FB7">
        <w:rPr>
          <w:rFonts w:eastAsia="Times New Roman"/>
          <w:szCs w:val="20"/>
        </w:rPr>
        <w:tab/>
      </w:r>
      <w:r w:rsidRPr="00BD1FB7">
        <w:rPr>
          <w:rFonts w:eastAsia="Times New Roman"/>
          <w:color w:val="000000"/>
        </w:rPr>
        <w:t xml:space="preserve">A student enrolled in a receiving district pursuant to this chapter must be included in the average daily membership of the receiving district for the purposes relating to the allocation of all state and federal education funding and must not be included in the average daily membership of the district of residence for these purposes.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Districts shall receive one hundred percent of the base student cost from the State for nonresident students enrolled pursuant to this chapter.</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855782"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szCs w:val="20"/>
        </w:rPr>
        <w:lastRenderedPageBreak/>
        <w:tab/>
        <w:t>Section 59</w:t>
      </w:r>
      <w:r>
        <w:rPr>
          <w:rFonts w:eastAsia="Times New Roman"/>
          <w:szCs w:val="20"/>
        </w:rPr>
        <w:noBreakHyphen/>
        <w:t>62</w:t>
      </w:r>
      <w:r>
        <w:rPr>
          <w:rFonts w:eastAsia="Times New Roman"/>
          <w:szCs w:val="20"/>
        </w:rPr>
        <w:noBreakHyphen/>
        <w:t>110.</w:t>
      </w:r>
      <w:r>
        <w:rPr>
          <w:rFonts w:eastAsia="Times New Roman"/>
          <w:szCs w:val="20"/>
        </w:rPr>
        <w:tab/>
      </w:r>
      <w:r w:rsidR="006E55E7" w:rsidRPr="00BD1FB7">
        <w:rPr>
          <w:rFonts w:eastAsia="Times New Roman"/>
          <w:color w:val="000000"/>
        </w:rPr>
        <w:t>(A)</w:t>
      </w:r>
      <w:r w:rsidR="006E55E7" w:rsidRPr="00BD1FB7">
        <w:rPr>
          <w:rFonts w:eastAsia="Times New Roman"/>
          <w:color w:val="000000"/>
        </w:rPr>
        <w:tab/>
        <w:t xml:space="preserve">A student enrolled in a receiving school pursuant to this chapter is ineligible to participate in interscholastic 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the student wishes to participate is not offered in the student’s previous school.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color w:val="000000"/>
        </w:rPr>
        <w:tab/>
        <w:t>(B)</w:t>
      </w:r>
      <w:r w:rsidRPr="00BD1FB7">
        <w:rPr>
          <w:rFonts w:eastAsia="Times New Roman"/>
          <w:color w:val="000000"/>
        </w:rPr>
        <w:tab/>
        <w:t>A student may not gain eligibility to participate in extracurricular activities in violation of policies governing eligibility as a result of an enrollment transfer to another school.</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120.</w:t>
      </w:r>
      <w:r w:rsidRPr="00BD1FB7">
        <w:rPr>
          <w:rFonts w:eastAsia="Times New Roman"/>
          <w:szCs w:val="20"/>
        </w:rPr>
        <w:tab/>
        <w:t>(A)</w:t>
      </w:r>
      <w:r w:rsidRPr="00BD1FB7">
        <w:rPr>
          <w:rFonts w:eastAsia="Times New Roman"/>
          <w:szCs w:val="20"/>
        </w:rPr>
        <w:tab/>
        <w:t xml:space="preserve">A receiving district shall accept credits for a course completed in another accredited school and shall apply those credits toward the student’s requirements for graduation.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(B)</w:t>
      </w:r>
      <w:r w:rsidRPr="00BD1FB7">
        <w:rPr>
          <w:rFonts w:eastAsia="Times New Roman"/>
          <w:szCs w:val="20"/>
        </w:rPr>
        <w:tab/>
        <w:t xml:space="preserve">The receiving district shall award a diploma to a nonresident student if the student meets all state requirements for graduation.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130.</w:t>
      </w:r>
      <w:r w:rsidRPr="00BD1FB7">
        <w:rPr>
          <w:rFonts w:eastAsia="Times New Roman"/>
          <w:szCs w:val="20"/>
        </w:rPr>
        <w:tab/>
        <w:t>Open enrollment does not preclude a school district from contracting with other school districts, educational service providers, or other state</w:t>
      </w:r>
      <w:r w:rsidRPr="00BD1FB7">
        <w:rPr>
          <w:rFonts w:eastAsia="Times New Roman"/>
          <w:szCs w:val="20"/>
        </w:rPr>
        <w:noBreakHyphen/>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Default="00D85C70"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6E55E7">
        <w:rPr>
          <w:rFonts w:eastAsia="Times New Roman"/>
          <w:snapToGrid w:val="0"/>
          <w:szCs w:val="20"/>
        </w:rPr>
        <w:t>Section 59</w:t>
      </w:r>
      <w:r w:rsidR="006E55E7">
        <w:rPr>
          <w:rFonts w:eastAsia="Times New Roman"/>
          <w:snapToGrid w:val="0"/>
          <w:szCs w:val="20"/>
        </w:rPr>
        <w:noBreakHyphen/>
        <w:t>62</w:t>
      </w:r>
      <w:r w:rsidR="006E55E7">
        <w:rPr>
          <w:rFonts w:eastAsia="Times New Roman"/>
          <w:snapToGrid w:val="0"/>
          <w:szCs w:val="20"/>
        </w:rPr>
        <w:noBreakHyphen/>
        <w:t>135.</w:t>
      </w:r>
      <w:r w:rsidR="006E55E7">
        <w:rPr>
          <w:rFonts w:eastAsia="Times New Roman"/>
          <w:snapToGrid w:val="0"/>
          <w:szCs w:val="20"/>
        </w:rPr>
        <w:tab/>
        <w:t>(A)</w:t>
      </w:r>
      <w:r w:rsidR="006E55E7">
        <w:rPr>
          <w:rFonts w:eastAsia="Times New Roman"/>
          <w:snapToGrid w:val="0"/>
          <w:szCs w:val="20"/>
        </w:rPr>
        <w:tab/>
        <w:t xml:space="preserve">A school district may apply to the State Board of Education for a waiver to phase in the implementation of the </w:t>
      </w:r>
      <w:r w:rsidR="006E55E7" w:rsidRPr="00174F3C">
        <w:rPr>
          <w:rFonts w:eastAsia="Times New Roman"/>
          <w:snapToGrid w:val="0"/>
          <w:szCs w:val="20"/>
        </w:rPr>
        <w:t>‘</w:t>
      </w:r>
      <w:r w:rsidR="006E55E7">
        <w:rPr>
          <w:rFonts w:eastAsia="Times New Roman"/>
          <w:snapToGrid w:val="0"/>
          <w:szCs w:val="20"/>
        </w:rPr>
        <w:t>School District Choice and Open Enrollment Programs</w:t>
      </w:r>
      <w:r w:rsidR="006E55E7" w:rsidRPr="00174F3C">
        <w:rPr>
          <w:rFonts w:eastAsia="Times New Roman"/>
          <w:snapToGrid w:val="0"/>
          <w:szCs w:val="20"/>
        </w:rPr>
        <w:t>’</w:t>
      </w:r>
      <w:r w:rsidR="006E55E7">
        <w:rPr>
          <w:rFonts w:eastAsia="Times New Roman"/>
          <w:snapToGrid w:val="0"/>
          <w:szCs w:val="20"/>
        </w:rPr>
        <w:t xml:space="preserve"> required by this chapter on an alternate schedule proposed by the district other than as required by this chapter.  The State Board of Education may grant the waiver request upon good cause shown.</w:t>
      </w:r>
    </w:p>
    <w:p w:rsidR="006E55E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A school district also may apply to the State Board of Education, separately from the waiver authorized by subsection (A), for a waiver of the requirement in Section 59</w:t>
      </w:r>
      <w:r>
        <w:rPr>
          <w:rFonts w:eastAsia="Times New Roman"/>
          <w:snapToGrid w:val="0"/>
          <w:szCs w:val="20"/>
        </w:rPr>
        <w:noBreakHyphen/>
        <w:t>62</w:t>
      </w:r>
      <w:r>
        <w:rPr>
          <w:rFonts w:eastAsia="Times New Roman"/>
          <w:snapToGrid w:val="0"/>
          <w:szCs w:val="20"/>
        </w:rPr>
        <w:noBreakHyphen/>
        <w:t>70 that the district accept students at a particular school residing outside the school</w:t>
      </w:r>
      <w:r w:rsidRPr="00174F3C">
        <w:rPr>
          <w:rFonts w:eastAsia="Times New Roman"/>
          <w:snapToGrid w:val="0"/>
          <w:szCs w:val="20"/>
        </w:rPr>
        <w:t>’</w:t>
      </w:r>
      <w:r>
        <w:rPr>
          <w:rFonts w:eastAsia="Times New Roman"/>
          <w:snapToGrid w:val="0"/>
          <w:szCs w:val="20"/>
        </w:rPr>
        <w:t>s attendance area not in excess of three percent of the school</w:t>
      </w:r>
      <w:r w:rsidRPr="00174F3C">
        <w:rPr>
          <w:rFonts w:eastAsia="Times New Roman"/>
          <w:snapToGrid w:val="0"/>
          <w:szCs w:val="20"/>
        </w:rPr>
        <w:t>’</w:t>
      </w:r>
      <w:r>
        <w:rPr>
          <w:rFonts w:eastAsia="Times New Roman"/>
          <w:snapToGrid w:val="0"/>
          <w:szCs w:val="20"/>
        </w:rPr>
        <w:t xml:space="preserve">s highest average daily membership in any year over the </w:t>
      </w:r>
      <w:r>
        <w:rPr>
          <w:rFonts w:eastAsia="Times New Roman"/>
          <w:snapToGrid w:val="0"/>
          <w:szCs w:val="20"/>
        </w:rPr>
        <w:lastRenderedPageBreak/>
        <w:t>preceding ten</w:t>
      </w:r>
      <w:r>
        <w:rPr>
          <w:rFonts w:eastAsia="Times New Roman"/>
          <w:snapToGrid w:val="0"/>
          <w:szCs w:val="20"/>
        </w:rPr>
        <w:noBreakHyphen/>
        <w:t>year period with this requirement phased in at a yearly increase of one percent of the school</w:t>
      </w:r>
      <w:r w:rsidRPr="00174F3C">
        <w:rPr>
          <w:rFonts w:eastAsia="Times New Roman"/>
          <w:snapToGrid w:val="0"/>
          <w:szCs w:val="20"/>
        </w:rPr>
        <w:t>’</w:t>
      </w:r>
      <w:r>
        <w:rPr>
          <w:rFonts w:eastAsia="Times New Roman"/>
          <w:snapToGrid w:val="0"/>
          <w:szCs w:val="20"/>
        </w:rPr>
        <w:t>s previous year</w:t>
      </w:r>
      <w:r w:rsidRPr="00174F3C">
        <w:rPr>
          <w:rFonts w:eastAsia="Times New Roman"/>
          <w:snapToGrid w:val="0"/>
          <w:szCs w:val="20"/>
        </w:rPr>
        <w:t>’</w:t>
      </w:r>
      <w:r>
        <w:rPr>
          <w:rFonts w:eastAsia="Times New Roman"/>
          <w:snapToGrid w:val="0"/>
          <w:szCs w:val="20"/>
        </w:rPr>
        <w:t>s average daily membership.  The State Board of Education may grant the waiver request upon good cause shown.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t>(C)</w:t>
      </w:r>
      <w:r>
        <w:rPr>
          <w:rFonts w:eastAsia="Times New Roman"/>
          <w:snapToGrid w:val="0"/>
          <w:szCs w:val="20"/>
        </w:rPr>
        <w:tab/>
        <w:t>In addition to the other waiver requests permitted by this section, a school district in the process of consolidation may request a waiver from all requirements of this chapter until the consolidation is completed.  Thereafter, the provisions of this chapter then shall apply to the district in the manner specified in the waiver request.  The State Board of Education may grant the waiver request upon good cause shown.</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140.</w:t>
      </w:r>
      <w:r w:rsidRPr="00BD1FB7">
        <w:rPr>
          <w:rFonts w:eastAsia="Times New Roman"/>
          <w:szCs w:val="20"/>
        </w:rPr>
        <w:tab/>
        <w:t xml:space="preserve">The department shall conduct an annual survey of districts to determine the number of students participating in the </w:t>
      </w:r>
      <w:r w:rsidR="00D85C70">
        <w:rPr>
          <w:rFonts w:eastAsia="Times New Roman"/>
          <w:szCs w:val="20"/>
        </w:rPr>
        <w:t>Open E</w:t>
      </w:r>
      <w:r w:rsidRPr="00BD1FB7">
        <w:rPr>
          <w:rFonts w:eastAsia="Times New Roman"/>
          <w:szCs w:val="20"/>
        </w:rPr>
        <w:t xml:space="preserve">nrollment </w:t>
      </w:r>
      <w:r w:rsidR="00D85C70">
        <w:rPr>
          <w:rFonts w:eastAsia="Times New Roman"/>
          <w:szCs w:val="20"/>
        </w:rPr>
        <w:t>P</w:t>
      </w:r>
      <w:r w:rsidRPr="00BD1FB7">
        <w:rPr>
          <w:rFonts w:eastAsia="Times New Roman"/>
          <w:szCs w:val="20"/>
        </w:rPr>
        <w:t xml:space="preserve">rogram. The participants must be reported according to the number of resident students enrolling in a school other than the school in their attendance zone, the number of nonresident students enrolled, the number of denied applications, reasons for denial, and changes to the racial composition and poverty level of the districts and schools enrolling students. The department annually shall report these findings to the General Assembly annually by January first. </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150.</w:t>
      </w:r>
      <w:r w:rsidRPr="00BD1FB7">
        <w:rPr>
          <w:rFonts w:eastAsia="Times New Roman"/>
          <w:szCs w:val="20"/>
        </w:rPr>
        <w:tab/>
      </w:r>
      <w:r w:rsidRPr="00BD1FB7">
        <w:rPr>
          <w:rFonts w:eastAsia="Times New Roman"/>
          <w:color w:val="000000"/>
        </w:rPr>
        <w:t>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April fifteenth of each year estimating the cost of implementation for the ensuing fiscal year; provided that for fiscal year 2012</w:t>
      </w:r>
      <w:r w:rsidRPr="00BD1FB7">
        <w:rPr>
          <w:rFonts w:eastAsia="Times New Roman"/>
          <w:color w:val="000000"/>
        </w:rPr>
        <w:noBreakHyphen/>
        <w:t>2013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BD1FB7">
        <w:rPr>
          <w:rFonts w:eastAsia="Times New Roman"/>
          <w:szCs w:val="20"/>
        </w:rPr>
        <w:tab/>
        <w:t>Section 59</w:t>
      </w:r>
      <w:r w:rsidRPr="00BD1FB7">
        <w:rPr>
          <w:rFonts w:eastAsia="Times New Roman"/>
          <w:szCs w:val="20"/>
        </w:rPr>
        <w:noBreakHyphen/>
        <w:t>62</w:t>
      </w:r>
      <w:r w:rsidRPr="00BD1FB7">
        <w:rPr>
          <w:rFonts w:eastAsia="Times New Roman"/>
          <w:szCs w:val="20"/>
        </w:rPr>
        <w:noBreakHyphen/>
        <w:t>160.</w:t>
      </w:r>
      <w:r w:rsidRPr="00BD1FB7">
        <w:rPr>
          <w:rFonts w:eastAsia="Times New Roman"/>
          <w:szCs w:val="20"/>
        </w:rPr>
        <w:tab/>
        <w:t xml:space="preserve">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w:t>
      </w:r>
      <w:r w:rsidRPr="00BD1FB7">
        <w:rPr>
          <w:rFonts w:eastAsia="Times New Roman"/>
          <w:szCs w:val="20"/>
        </w:rPr>
        <w:lastRenderedPageBreak/>
        <w:t>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E55E7" w:rsidRPr="00BD1FB7"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55E7" w:rsidP="006E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D1FB7">
        <w:rPr>
          <w:rFonts w:eastAsia="Times New Roman"/>
        </w:rPr>
        <w:t>SECTION</w:t>
      </w:r>
      <w:r w:rsidRPr="00BD1FB7">
        <w:rPr>
          <w:rFonts w:eastAsia="Times New Roman"/>
        </w:rPr>
        <w:tab/>
        <w:t>2.</w:t>
      </w:r>
      <w:r w:rsidRPr="00BD1FB7">
        <w:rPr>
          <w:rFonts w:eastAsia="Times New Roman"/>
        </w:rPr>
        <w:tab/>
        <w:t xml:space="preserve">This act takes effect upon approval by the Governor. </w:t>
      </w:r>
    </w:p>
    <w:p w:rsidR="00382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2E21" w:rsidRDefault="00382E21" w:rsidP="00790921">
      <w:pPr>
        <w:suppressAutoHyphens/>
        <w:jc w:val="both"/>
        <w:rPr>
          <w:rFonts w:eastAsia="Times New Roman"/>
        </w:rPr>
      </w:pPr>
    </w:p>
    <w:sectPr w:rsidR="00382E21" w:rsidSect="006B0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E0" w:rsidRDefault="008F29E0" w:rsidP="00522CE0">
      <w:r>
        <w:separator/>
      </w:r>
    </w:p>
  </w:endnote>
  <w:endnote w:type="continuationSeparator" w:id="0">
    <w:p w:rsidR="008F29E0" w:rsidRDefault="008F29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DF2A5B-EF34-440C-9C24-E3B1E13C2C5E}"/>
    <w:embedBold r:id="rId2" w:fontKey="{741BD7C2-BB02-4D23-A945-873F4DA30203}"/>
    <w:embedBoldItalic r:id="rId3" w:fontKey="{E8E28650-7224-4FA6-B4BD-345B1CCC78BD}"/>
  </w:font>
  <w:font w:name="Calibri">
    <w:panose1 w:val="020F0502020204030204"/>
    <w:charset w:val="00"/>
    <w:family w:val="swiss"/>
    <w:pitch w:val="variable"/>
    <w:sig w:usb0="A00002EF" w:usb1="4000207B" w:usb2="00000000" w:usb3="00000000" w:csb0="0000009F" w:csb1="00000000"/>
    <w:embedRegular r:id="rId4" w:fontKey="{2A48121A-286F-4199-821C-FD2731418B39}"/>
  </w:font>
  <w:font w:name="Cambria">
    <w:panose1 w:val="02040503050406030204"/>
    <w:charset w:val="00"/>
    <w:family w:val="roman"/>
    <w:pitch w:val="variable"/>
    <w:sig w:usb0="A00002EF" w:usb1="4000004B" w:usb2="00000000" w:usb3="00000000" w:csb0="0000009F" w:csb1="00000000"/>
    <w:embedRegular r:id="rId5" w:fontKey="{E537E187-0D98-4BDD-9640-6352F50D79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D1" w:rsidRPr="00382E21" w:rsidRDefault="00382E21" w:rsidP="00382E21">
    <w:pPr>
      <w:pStyle w:val="Footer"/>
      <w:tabs>
        <w:tab w:val="clear" w:pos="4680"/>
        <w:tab w:val="clear" w:pos="9360"/>
        <w:tab w:val="center" w:pos="2995"/>
      </w:tabs>
      <w:spacing w:before="120"/>
    </w:pPr>
    <w:r>
      <w:t>[1267</w:t>
    </w:r>
    <w:r w:rsidR="006B0939">
      <w:t>-</w:t>
    </w:r>
    <w:fldSimple w:instr=" PAGE  \* MERGEFORMAT ">
      <w:r w:rsidR="00790921">
        <w:rPr>
          <w:noProof/>
        </w:rPr>
        <w:t>1</w:t>
      </w:r>
    </w:fldSimple>
    <w:r w:rsidR="006B0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39" w:rsidRPr="00382E21" w:rsidRDefault="006B0939" w:rsidP="00382E21">
    <w:pPr>
      <w:pStyle w:val="Footer"/>
      <w:tabs>
        <w:tab w:val="clear" w:pos="4680"/>
        <w:tab w:val="clear" w:pos="9360"/>
        <w:tab w:val="center" w:pos="2995"/>
      </w:tabs>
      <w:spacing w:before="120"/>
    </w:pPr>
    <w:r>
      <w:t>[1267]</w:t>
    </w:r>
    <w:r>
      <w:tab/>
    </w:r>
    <w:fldSimple w:instr=" PAGE  \* MERGEFORMAT ">
      <w:r w:rsidR="007909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E0" w:rsidRDefault="008F29E0" w:rsidP="00522CE0">
      <w:r>
        <w:separator/>
      </w:r>
    </w:p>
  </w:footnote>
  <w:footnote w:type="continuationSeparator" w:id="0">
    <w:p w:rsidR="008F29E0" w:rsidRDefault="008F29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7SCHO.REM.JEC"/>
    <w:docVar w:name="CoverAttorneyInitials" w:val="REM"/>
    <w:docVar w:name="CoverAttorneyLastName" w:val="Maldonado"/>
    <w:docVar w:name="CoverBillType" w:val="b"/>
    <w:docVar w:name="CoverSenator" w:val="JEC"/>
    <w:docVar w:name="dvBillNumber" w:val="1267"/>
    <w:docVar w:name="dvBillNumberPrefix" w:val="S. "/>
    <w:docVar w:name="dvOriginalBody" w:val="Senate"/>
    <w:docVar w:name="fulldraftpath" w:val="L:\S-RES\JEC\007SCHO.REM.JEC.DOCX"/>
    <w:docVar w:name="NameofBody" w:val="S"/>
    <w:docVar w:name="vgroup2" w:val="S-RES"/>
  </w:docVars>
  <w:rsids>
    <w:rsidRoot w:val="00120B6E"/>
    <w:rsid w:val="00042AC1"/>
    <w:rsid w:val="00046516"/>
    <w:rsid w:val="0007601D"/>
    <w:rsid w:val="000B0720"/>
    <w:rsid w:val="000B505E"/>
    <w:rsid w:val="000B5EAF"/>
    <w:rsid w:val="000D4C65"/>
    <w:rsid w:val="00120B6E"/>
    <w:rsid w:val="00155508"/>
    <w:rsid w:val="00170561"/>
    <w:rsid w:val="00186AC9"/>
    <w:rsid w:val="00197DF1"/>
    <w:rsid w:val="001B3DD9"/>
    <w:rsid w:val="001B7E5D"/>
    <w:rsid w:val="001D1C2B"/>
    <w:rsid w:val="001D3BAC"/>
    <w:rsid w:val="00207ADF"/>
    <w:rsid w:val="00231CAF"/>
    <w:rsid w:val="00245C4E"/>
    <w:rsid w:val="00266D09"/>
    <w:rsid w:val="00294D65"/>
    <w:rsid w:val="002C1321"/>
    <w:rsid w:val="002C5896"/>
    <w:rsid w:val="002D3BED"/>
    <w:rsid w:val="00306971"/>
    <w:rsid w:val="00307C2B"/>
    <w:rsid w:val="00315060"/>
    <w:rsid w:val="00382E21"/>
    <w:rsid w:val="00383247"/>
    <w:rsid w:val="003D6E2B"/>
    <w:rsid w:val="003E7597"/>
    <w:rsid w:val="0043390E"/>
    <w:rsid w:val="00450668"/>
    <w:rsid w:val="004608D3"/>
    <w:rsid w:val="00466E1A"/>
    <w:rsid w:val="0049383B"/>
    <w:rsid w:val="004952FA"/>
    <w:rsid w:val="004B6A22"/>
    <w:rsid w:val="004D7F37"/>
    <w:rsid w:val="00522CE0"/>
    <w:rsid w:val="00565148"/>
    <w:rsid w:val="00576C9C"/>
    <w:rsid w:val="00593361"/>
    <w:rsid w:val="005A413B"/>
    <w:rsid w:val="005A5017"/>
    <w:rsid w:val="005A648C"/>
    <w:rsid w:val="005F1745"/>
    <w:rsid w:val="006B0939"/>
    <w:rsid w:val="006C74EA"/>
    <w:rsid w:val="006E55E7"/>
    <w:rsid w:val="00701921"/>
    <w:rsid w:val="00706A5C"/>
    <w:rsid w:val="00720D40"/>
    <w:rsid w:val="007318D4"/>
    <w:rsid w:val="00757782"/>
    <w:rsid w:val="00757937"/>
    <w:rsid w:val="00765784"/>
    <w:rsid w:val="00790921"/>
    <w:rsid w:val="007A4390"/>
    <w:rsid w:val="007C5D80"/>
    <w:rsid w:val="007E5CB7"/>
    <w:rsid w:val="007F3070"/>
    <w:rsid w:val="008314D2"/>
    <w:rsid w:val="00855782"/>
    <w:rsid w:val="00863C72"/>
    <w:rsid w:val="0086488B"/>
    <w:rsid w:val="008653F2"/>
    <w:rsid w:val="00880853"/>
    <w:rsid w:val="00884626"/>
    <w:rsid w:val="008B2F42"/>
    <w:rsid w:val="008B3948"/>
    <w:rsid w:val="008C3697"/>
    <w:rsid w:val="008E185F"/>
    <w:rsid w:val="008E7F27"/>
    <w:rsid w:val="008F023B"/>
    <w:rsid w:val="008F29E0"/>
    <w:rsid w:val="00904E16"/>
    <w:rsid w:val="009162B3"/>
    <w:rsid w:val="00927C62"/>
    <w:rsid w:val="00983951"/>
    <w:rsid w:val="00984124"/>
    <w:rsid w:val="00984640"/>
    <w:rsid w:val="00995C37"/>
    <w:rsid w:val="009C118A"/>
    <w:rsid w:val="009D7ED9"/>
    <w:rsid w:val="00A02011"/>
    <w:rsid w:val="00A4011E"/>
    <w:rsid w:val="00A86015"/>
    <w:rsid w:val="00A9594E"/>
    <w:rsid w:val="00AE59C8"/>
    <w:rsid w:val="00AF2175"/>
    <w:rsid w:val="00B10098"/>
    <w:rsid w:val="00B46DD1"/>
    <w:rsid w:val="00B5790D"/>
    <w:rsid w:val="00B945C5"/>
    <w:rsid w:val="00BA20EA"/>
    <w:rsid w:val="00BB4F66"/>
    <w:rsid w:val="00BB5AFC"/>
    <w:rsid w:val="00BC0A56"/>
    <w:rsid w:val="00C05999"/>
    <w:rsid w:val="00C45366"/>
    <w:rsid w:val="00C57023"/>
    <w:rsid w:val="00C74052"/>
    <w:rsid w:val="00CB187A"/>
    <w:rsid w:val="00CC0EC7"/>
    <w:rsid w:val="00D1088B"/>
    <w:rsid w:val="00D14DE6"/>
    <w:rsid w:val="00D156D2"/>
    <w:rsid w:val="00D85C70"/>
    <w:rsid w:val="00D86943"/>
    <w:rsid w:val="00DA47B9"/>
    <w:rsid w:val="00E058D3"/>
    <w:rsid w:val="00E76AD9"/>
    <w:rsid w:val="00E815D4"/>
    <w:rsid w:val="00E91E2F"/>
    <w:rsid w:val="00EA3546"/>
    <w:rsid w:val="00EB47AE"/>
    <w:rsid w:val="00EC34E1"/>
    <w:rsid w:val="00EE6A36"/>
    <w:rsid w:val="00F0234A"/>
    <w:rsid w:val="00F52959"/>
    <w:rsid w:val="00F55884"/>
    <w:rsid w:val="00FC0D36"/>
    <w:rsid w:val="00FD0520"/>
    <w:rsid w:val="00FE286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E28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796FD-510A-4716-8E0F-22914CAC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4652</Words>
  <Characters>26520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cp:lastPrinted>2012-04-18T21:18:00Z</cp:lastPrinted>
  <dcterms:created xsi:type="dcterms:W3CDTF">2012-05-15T21:30:00Z</dcterms:created>
  <dcterms:modified xsi:type="dcterms:W3CDTF">2012-05-15T21:30:00Z</dcterms:modified>
</cp:coreProperties>
</file>