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3C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6B3" w:rsidRDefault="003A36B3" w:rsidP="00060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>
        <w:noBreakHyphen/>
        <w:t>6</w:t>
      </w:r>
      <w:r>
        <w:noBreakHyphen/>
        <w:t>2010, AS AMENDED, CODE OF LAWS OF SOUTH CAROLINA, 1976, 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6B3" w:rsidRDefault="00D33C35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36B3">
        <w:t>Section 61</w:t>
      </w:r>
      <w:r w:rsidR="003A36B3">
        <w:noBreakHyphen/>
        <w:t>6</w:t>
      </w:r>
      <w:r w:rsidR="003A36B3">
        <w:noBreakHyphen/>
        <w:t>2010 of the 1976 Code, as last amended by Act 67 of 2011, is further amended by adding a new subsection at the end to read:</w:t>
      </w:r>
    </w:p>
    <w:p w:rsidR="003A36B3" w:rsidRDefault="003A36B3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C35" w:rsidRDefault="003A36B3" w:rsidP="003A3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  <w:t>Referendums under this section required to be conducted at a general election include municipal general elections held other than on the first Tuesday following the first Monday in November of even</w:t>
      </w:r>
      <w:r>
        <w:noBreakHyphen/>
        <w:t>numbered years.  In addition, a general election for federal, state, and county officers held as provided in Section 7</w:t>
      </w:r>
      <w:r>
        <w:noBreakHyphen/>
        <w:t>13</w:t>
      </w:r>
      <w:r>
        <w:noBreakHyphen/>
        <w:t>10 for purposes of this section also is considered a county general election.  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at least sixty days before the date of that general election.”</w:t>
      </w:r>
    </w:p>
    <w:p w:rsidR="00D33C35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C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36B3">
        <w:t>2</w:t>
      </w:r>
      <w:r>
        <w:t>.</w:t>
      </w:r>
      <w:r>
        <w:tab/>
        <w:t>This act takes effect upon approval by the Governor.</w:t>
      </w:r>
    </w:p>
    <w:p w:rsidR="000608A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608A6" w:rsidRDefault="000608A6" w:rsidP="000608A6">
      <w:pPr>
        <w:suppressAutoHyphens/>
      </w:pPr>
    </w:p>
    <w:sectPr w:rsidR="000608A6" w:rsidSect="000608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C35" w:rsidRDefault="00D33C35" w:rsidP="009F0C77">
      <w:r>
        <w:separator/>
      </w:r>
    </w:p>
  </w:endnote>
  <w:endnote w:type="continuationSeparator" w:id="0">
    <w:p w:rsidR="00D33C35" w:rsidRDefault="00D33C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DDC485-734E-4302-8883-40EF8BA8B9E3}"/>
    <w:embedBold r:id="rId2" w:fontKey="{7CA2FA8A-B1BE-4BF7-B576-F4FFD96753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BF8C1E-2641-4594-8325-6621819EE9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8EA65E-07D5-4A3C-A9DF-4AF59C550A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DCE" w:rsidRPr="000608A6" w:rsidRDefault="000608A6" w:rsidP="000608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C35" w:rsidRDefault="00D33C35" w:rsidP="009F0C77">
      <w:r>
        <w:separator/>
      </w:r>
    </w:p>
  </w:footnote>
  <w:footnote w:type="continuationSeparator" w:id="0">
    <w:p w:rsidR="00D33C35" w:rsidRDefault="00D33C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4043SD12"/>
    <w:docVar w:name="CoverBillType" w:val="b"/>
    <w:docVar w:name="docpath" w:val="L:\Council\bills\DKA\4043SD12.DOCX"/>
    <w:docVar w:name="dvBillNumber" w:val="138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6339A8"/>
    <w:rsid w:val="00026C9A"/>
    <w:rsid w:val="000608A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B5F"/>
    <w:rsid w:val="002321B6"/>
    <w:rsid w:val="0023696B"/>
    <w:rsid w:val="00242DCE"/>
    <w:rsid w:val="00250967"/>
    <w:rsid w:val="002759C5"/>
    <w:rsid w:val="00277DEE"/>
    <w:rsid w:val="00280D88"/>
    <w:rsid w:val="00294ABE"/>
    <w:rsid w:val="002A3EB4"/>
    <w:rsid w:val="00325348"/>
    <w:rsid w:val="00393688"/>
    <w:rsid w:val="003A36B3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39A8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7D26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C3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6EEC"/>
    <w:rsid w:val="00EF3EEE"/>
    <w:rsid w:val="00F149A7"/>
    <w:rsid w:val="00F3489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7C64E-A06A-4201-B5AD-7AA40E86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Company> 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2012-03-27T18:33:00Z</cp:lastPrinted>
  <dcterms:created xsi:type="dcterms:W3CDTF">2012-03-28T18:40:00Z</dcterms:created>
  <dcterms:modified xsi:type="dcterms:W3CDTF">2012-03-28T18:40:00Z</dcterms:modified>
</cp:coreProperties>
</file>